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38A3" w14:textId="77777777" w:rsidR="00C6579A" w:rsidRPr="000C625B" w:rsidRDefault="00C6579A" w:rsidP="008F5B8D">
      <w:pPr>
        <w:spacing w:after="0"/>
        <w:jc w:val="both"/>
        <w:rPr>
          <w:rFonts w:ascii="Sylfaen" w:hAnsi="Sylfaen"/>
          <w:b/>
          <w:bCs/>
          <w:sz w:val="24"/>
          <w:szCs w:val="24"/>
        </w:rPr>
      </w:pPr>
    </w:p>
    <w:p w14:paraId="3F26BCF3" w14:textId="77777777" w:rsidR="00C6579A" w:rsidRPr="000C625B" w:rsidRDefault="00C6579A" w:rsidP="008F5B8D">
      <w:pPr>
        <w:spacing w:after="0"/>
        <w:jc w:val="both"/>
        <w:rPr>
          <w:rFonts w:ascii="Sylfaen" w:hAnsi="Sylfaen"/>
          <w:b/>
          <w:bCs/>
          <w:sz w:val="24"/>
          <w:szCs w:val="24"/>
        </w:rPr>
      </w:pPr>
    </w:p>
    <w:p w14:paraId="4C2B9A4E" w14:textId="77777777" w:rsidR="00C6579A" w:rsidRPr="000C625B" w:rsidRDefault="00C6579A" w:rsidP="008F5B8D">
      <w:pPr>
        <w:spacing w:after="0"/>
        <w:jc w:val="both"/>
        <w:rPr>
          <w:rFonts w:ascii="Sylfaen" w:hAnsi="Sylfaen"/>
          <w:b/>
          <w:bCs/>
          <w:sz w:val="24"/>
          <w:szCs w:val="24"/>
        </w:rPr>
      </w:pPr>
    </w:p>
    <w:p w14:paraId="3FCB8EFB" w14:textId="77777777" w:rsidR="00C6579A" w:rsidRPr="000C625B" w:rsidRDefault="00C6579A" w:rsidP="008F5B8D">
      <w:pPr>
        <w:spacing w:after="0"/>
        <w:jc w:val="both"/>
        <w:rPr>
          <w:rFonts w:ascii="Sylfaen" w:hAnsi="Sylfaen"/>
          <w:b/>
          <w:bCs/>
          <w:sz w:val="24"/>
          <w:szCs w:val="24"/>
        </w:rPr>
      </w:pPr>
    </w:p>
    <w:p w14:paraId="7F391B8E" w14:textId="77777777" w:rsidR="00C6579A" w:rsidRPr="000C625B" w:rsidRDefault="00C6579A" w:rsidP="008F5B8D">
      <w:pPr>
        <w:spacing w:after="0"/>
        <w:jc w:val="both"/>
        <w:rPr>
          <w:rFonts w:ascii="Sylfaen" w:hAnsi="Sylfaen"/>
          <w:b/>
          <w:bCs/>
          <w:sz w:val="24"/>
          <w:szCs w:val="24"/>
        </w:rPr>
      </w:pPr>
    </w:p>
    <w:p w14:paraId="4CE317C3" w14:textId="77777777" w:rsidR="00C6579A" w:rsidRPr="000C625B" w:rsidRDefault="00C6579A" w:rsidP="008F5B8D">
      <w:pPr>
        <w:spacing w:after="0"/>
        <w:jc w:val="both"/>
        <w:rPr>
          <w:rFonts w:ascii="Sylfaen" w:hAnsi="Sylfaen"/>
          <w:b/>
          <w:bCs/>
          <w:sz w:val="24"/>
          <w:szCs w:val="24"/>
        </w:rPr>
      </w:pPr>
    </w:p>
    <w:p w14:paraId="3F137360" w14:textId="77777777" w:rsidR="00C6579A" w:rsidRPr="000C625B" w:rsidRDefault="00C6579A" w:rsidP="008F5B8D">
      <w:pPr>
        <w:spacing w:after="0"/>
        <w:jc w:val="both"/>
        <w:rPr>
          <w:rFonts w:ascii="Sylfaen" w:hAnsi="Sylfaen"/>
          <w:b/>
          <w:bCs/>
          <w:sz w:val="24"/>
          <w:szCs w:val="24"/>
        </w:rPr>
      </w:pPr>
    </w:p>
    <w:p w14:paraId="683DF40D" w14:textId="77777777" w:rsidR="00C6579A" w:rsidRPr="000C625B" w:rsidRDefault="00C6579A" w:rsidP="008F5B8D">
      <w:pPr>
        <w:spacing w:after="0"/>
        <w:jc w:val="both"/>
        <w:rPr>
          <w:rFonts w:ascii="Sylfaen" w:hAnsi="Sylfaen"/>
          <w:b/>
          <w:bCs/>
          <w:sz w:val="24"/>
          <w:szCs w:val="24"/>
        </w:rPr>
      </w:pPr>
    </w:p>
    <w:p w14:paraId="2BC8902F" w14:textId="77777777" w:rsidR="008918C8" w:rsidRPr="000C625B" w:rsidRDefault="008918C8" w:rsidP="008F5B8D">
      <w:pPr>
        <w:spacing w:after="0"/>
        <w:jc w:val="both"/>
        <w:rPr>
          <w:rFonts w:ascii="Sylfaen" w:hAnsi="Sylfaen"/>
          <w:b/>
          <w:bCs/>
          <w:sz w:val="24"/>
          <w:szCs w:val="24"/>
        </w:rPr>
      </w:pPr>
    </w:p>
    <w:p w14:paraId="48501F69" w14:textId="77777777" w:rsidR="008918C8" w:rsidRPr="000C625B" w:rsidRDefault="008918C8" w:rsidP="008F5B8D">
      <w:pPr>
        <w:spacing w:after="0"/>
        <w:jc w:val="both"/>
        <w:rPr>
          <w:rFonts w:ascii="Sylfaen" w:hAnsi="Sylfaen"/>
          <w:b/>
          <w:bCs/>
          <w:sz w:val="24"/>
          <w:szCs w:val="24"/>
        </w:rPr>
      </w:pPr>
    </w:p>
    <w:p w14:paraId="44D1CBCC" w14:textId="77777777" w:rsidR="008918C8" w:rsidRPr="000C625B" w:rsidRDefault="008918C8" w:rsidP="008F5B8D">
      <w:pPr>
        <w:spacing w:after="0"/>
        <w:jc w:val="both"/>
        <w:rPr>
          <w:rFonts w:ascii="Sylfaen" w:hAnsi="Sylfaen"/>
          <w:b/>
          <w:bCs/>
          <w:sz w:val="24"/>
          <w:szCs w:val="24"/>
        </w:rPr>
      </w:pPr>
    </w:p>
    <w:p w14:paraId="3F8423FB" w14:textId="77777777" w:rsidR="008918C8" w:rsidRPr="000C625B" w:rsidRDefault="008918C8" w:rsidP="008F5B8D">
      <w:pPr>
        <w:spacing w:after="0"/>
        <w:jc w:val="both"/>
        <w:rPr>
          <w:rFonts w:ascii="Sylfaen" w:hAnsi="Sylfaen"/>
          <w:b/>
          <w:bCs/>
          <w:sz w:val="24"/>
          <w:szCs w:val="24"/>
        </w:rPr>
      </w:pPr>
    </w:p>
    <w:p w14:paraId="4B6529FA" w14:textId="77777777" w:rsidR="00AE07A1" w:rsidRPr="000C625B" w:rsidRDefault="00AE07A1" w:rsidP="008F5B8D">
      <w:pPr>
        <w:spacing w:after="0"/>
        <w:jc w:val="both"/>
        <w:rPr>
          <w:rFonts w:ascii="Sylfaen" w:hAnsi="Sylfaen"/>
          <w:b/>
          <w:bCs/>
          <w:sz w:val="24"/>
          <w:szCs w:val="24"/>
        </w:rPr>
      </w:pPr>
    </w:p>
    <w:p w14:paraId="030834D7" w14:textId="77777777" w:rsidR="00C6579A" w:rsidRPr="000C625B" w:rsidRDefault="00C6579A" w:rsidP="008F5B8D">
      <w:pPr>
        <w:spacing w:after="0"/>
        <w:jc w:val="both"/>
        <w:rPr>
          <w:rFonts w:ascii="Sylfaen" w:hAnsi="Sylfaen"/>
          <w:b/>
          <w:bCs/>
          <w:sz w:val="24"/>
          <w:szCs w:val="24"/>
        </w:rPr>
      </w:pPr>
    </w:p>
    <w:p w14:paraId="6CDFC77D" w14:textId="77777777" w:rsidR="00C6579A" w:rsidRPr="000C625B" w:rsidRDefault="00C6579A" w:rsidP="008F5B8D">
      <w:pPr>
        <w:spacing w:after="0"/>
        <w:jc w:val="both"/>
        <w:rPr>
          <w:rFonts w:ascii="Sylfaen" w:hAnsi="Sylfaen"/>
          <w:b/>
          <w:bCs/>
          <w:sz w:val="24"/>
          <w:szCs w:val="24"/>
        </w:rPr>
      </w:pPr>
    </w:p>
    <w:p w14:paraId="5FF4E6C5" w14:textId="77777777" w:rsidR="00C6579A" w:rsidRPr="000C625B" w:rsidRDefault="00C6579A" w:rsidP="008F5B8D">
      <w:pPr>
        <w:spacing w:after="0"/>
        <w:jc w:val="both"/>
        <w:rPr>
          <w:rFonts w:ascii="Sylfaen" w:hAnsi="Sylfaen"/>
          <w:b/>
          <w:bCs/>
          <w:sz w:val="24"/>
          <w:szCs w:val="24"/>
        </w:rPr>
      </w:pPr>
    </w:p>
    <w:p w14:paraId="5145F4BF" w14:textId="23E8DE51" w:rsidR="00C6579A" w:rsidRPr="000C625B" w:rsidRDefault="00C6579A" w:rsidP="008F5B8D">
      <w:pPr>
        <w:spacing w:after="0"/>
        <w:ind w:firstLine="284"/>
        <w:jc w:val="both"/>
        <w:rPr>
          <w:rFonts w:ascii="Sylfaen" w:hAnsi="Sylfaen"/>
          <w:b/>
          <w:bCs/>
          <w:sz w:val="24"/>
          <w:szCs w:val="24"/>
        </w:rPr>
      </w:pPr>
      <w:r w:rsidRPr="000C625B">
        <w:rPr>
          <w:rFonts w:ascii="Sylfaen" w:hAnsi="Sylfaen"/>
          <w:b/>
          <w:bCs/>
          <w:sz w:val="24"/>
          <w:szCs w:val="24"/>
        </w:rPr>
        <w:t>№2/</w:t>
      </w:r>
      <w:r w:rsidR="004D4EA9">
        <w:rPr>
          <w:rFonts w:ascii="Sylfaen" w:hAnsi="Sylfaen"/>
          <w:b/>
          <w:bCs/>
          <w:sz w:val="24"/>
          <w:szCs w:val="24"/>
        </w:rPr>
        <w:t>10</w:t>
      </w:r>
      <w:r w:rsidRPr="000C625B">
        <w:rPr>
          <w:rFonts w:ascii="Sylfaen" w:hAnsi="Sylfaen"/>
          <w:b/>
          <w:bCs/>
          <w:sz w:val="24"/>
          <w:szCs w:val="24"/>
        </w:rPr>
        <w:t>/1</w:t>
      </w:r>
      <w:r w:rsidR="003A4E2B" w:rsidRPr="000C625B">
        <w:rPr>
          <w:rFonts w:ascii="Sylfaen" w:hAnsi="Sylfaen"/>
          <w:b/>
          <w:bCs/>
          <w:sz w:val="24"/>
          <w:szCs w:val="24"/>
        </w:rPr>
        <w:t>474</w:t>
      </w:r>
      <w:r w:rsidR="003857BA" w:rsidRPr="000C625B">
        <w:rPr>
          <w:rFonts w:ascii="Sylfaen" w:hAnsi="Sylfaen"/>
          <w:b/>
          <w:bCs/>
          <w:sz w:val="24"/>
          <w:szCs w:val="24"/>
        </w:rPr>
        <w:tab/>
      </w:r>
      <w:r w:rsidR="003857BA" w:rsidRPr="000C625B">
        <w:rPr>
          <w:rFonts w:ascii="Sylfaen" w:hAnsi="Sylfaen"/>
          <w:b/>
          <w:bCs/>
          <w:sz w:val="24"/>
          <w:szCs w:val="24"/>
        </w:rPr>
        <w:tab/>
      </w:r>
      <w:r w:rsidR="003857BA" w:rsidRPr="000C625B">
        <w:rPr>
          <w:rFonts w:ascii="Sylfaen" w:hAnsi="Sylfaen"/>
          <w:b/>
          <w:bCs/>
          <w:sz w:val="24"/>
          <w:szCs w:val="24"/>
        </w:rPr>
        <w:tab/>
      </w:r>
      <w:r w:rsidR="003857BA" w:rsidRPr="000C625B">
        <w:rPr>
          <w:rFonts w:ascii="Sylfaen" w:hAnsi="Sylfaen"/>
          <w:b/>
          <w:bCs/>
          <w:sz w:val="24"/>
          <w:szCs w:val="24"/>
        </w:rPr>
        <w:tab/>
      </w:r>
      <w:r w:rsidR="003857BA" w:rsidRPr="000C625B">
        <w:rPr>
          <w:rFonts w:ascii="Sylfaen" w:hAnsi="Sylfaen"/>
          <w:b/>
          <w:bCs/>
          <w:sz w:val="24"/>
          <w:szCs w:val="24"/>
        </w:rPr>
        <w:tab/>
      </w:r>
      <w:r w:rsidR="00B62616" w:rsidRPr="000C625B">
        <w:rPr>
          <w:rFonts w:ascii="Sylfaen" w:hAnsi="Sylfaen"/>
          <w:b/>
          <w:bCs/>
          <w:sz w:val="24"/>
          <w:szCs w:val="24"/>
        </w:rPr>
        <w:t xml:space="preserve"> </w:t>
      </w:r>
      <w:r w:rsidR="00546D76">
        <w:rPr>
          <w:rFonts w:ascii="Sylfaen" w:hAnsi="Sylfaen"/>
          <w:b/>
          <w:bCs/>
          <w:sz w:val="24"/>
          <w:szCs w:val="24"/>
        </w:rPr>
        <w:t xml:space="preserve">     </w:t>
      </w:r>
      <w:r w:rsidRPr="000C625B">
        <w:rPr>
          <w:rFonts w:ascii="Sylfaen" w:hAnsi="Sylfaen"/>
          <w:b/>
          <w:bCs/>
          <w:sz w:val="24"/>
          <w:szCs w:val="24"/>
        </w:rPr>
        <w:t>ბათუმი, 20</w:t>
      </w:r>
      <w:r w:rsidR="00393942" w:rsidRPr="000C625B">
        <w:rPr>
          <w:rFonts w:ascii="Sylfaen" w:hAnsi="Sylfaen"/>
          <w:b/>
          <w:bCs/>
          <w:sz w:val="24"/>
          <w:szCs w:val="24"/>
        </w:rPr>
        <w:t>24</w:t>
      </w:r>
      <w:r w:rsidRPr="000C625B">
        <w:rPr>
          <w:rFonts w:ascii="Sylfaen" w:hAnsi="Sylfaen"/>
          <w:b/>
          <w:bCs/>
          <w:sz w:val="24"/>
          <w:szCs w:val="24"/>
        </w:rPr>
        <w:t xml:space="preserve"> </w:t>
      </w:r>
      <w:r w:rsidR="00395C4E" w:rsidRPr="000C625B">
        <w:rPr>
          <w:rFonts w:ascii="Sylfaen" w:hAnsi="Sylfaen"/>
          <w:b/>
          <w:bCs/>
          <w:sz w:val="24"/>
          <w:szCs w:val="24"/>
        </w:rPr>
        <w:t>წლის</w:t>
      </w:r>
      <w:r w:rsidR="00546D76">
        <w:rPr>
          <w:rFonts w:ascii="Sylfaen" w:hAnsi="Sylfaen"/>
          <w:b/>
          <w:bCs/>
          <w:sz w:val="24"/>
          <w:szCs w:val="24"/>
        </w:rPr>
        <w:t xml:space="preserve"> 27 დეკემბერი</w:t>
      </w:r>
    </w:p>
    <w:p w14:paraId="03CB33C8" w14:textId="77777777" w:rsidR="00A25172" w:rsidRPr="000C625B" w:rsidRDefault="00A25172" w:rsidP="008F5B8D">
      <w:pPr>
        <w:spacing w:after="0"/>
        <w:ind w:firstLine="284"/>
        <w:jc w:val="both"/>
        <w:rPr>
          <w:rFonts w:ascii="Sylfaen" w:hAnsi="Sylfaen"/>
          <w:sz w:val="24"/>
          <w:szCs w:val="24"/>
        </w:rPr>
      </w:pPr>
    </w:p>
    <w:p w14:paraId="258E44D1" w14:textId="77777777" w:rsidR="00C6579A" w:rsidRPr="000C625B" w:rsidRDefault="00C6579A" w:rsidP="008F5B8D">
      <w:pPr>
        <w:spacing w:after="0"/>
        <w:ind w:firstLine="284"/>
        <w:jc w:val="both"/>
        <w:rPr>
          <w:rFonts w:ascii="Sylfaen" w:hAnsi="Sylfaen"/>
          <w:sz w:val="24"/>
          <w:szCs w:val="24"/>
        </w:rPr>
      </w:pPr>
      <w:r w:rsidRPr="000C625B">
        <w:rPr>
          <w:rFonts w:ascii="Sylfaen" w:hAnsi="Sylfaen"/>
          <w:b/>
          <w:bCs/>
          <w:sz w:val="24"/>
          <w:szCs w:val="24"/>
        </w:rPr>
        <w:t>კოლეგიის შემადგენლობა:</w:t>
      </w:r>
    </w:p>
    <w:p w14:paraId="5DF2D280" w14:textId="77777777" w:rsidR="00C6579A" w:rsidRPr="000C625B" w:rsidRDefault="007656DD" w:rsidP="008F5B8D">
      <w:pPr>
        <w:spacing w:after="0"/>
        <w:ind w:firstLine="284"/>
        <w:jc w:val="both"/>
        <w:rPr>
          <w:rFonts w:ascii="Sylfaen" w:hAnsi="Sylfaen"/>
          <w:sz w:val="24"/>
          <w:szCs w:val="24"/>
        </w:rPr>
      </w:pPr>
      <w:r w:rsidRPr="000C625B">
        <w:rPr>
          <w:rFonts w:ascii="Sylfaen" w:hAnsi="Sylfaen"/>
          <w:sz w:val="24"/>
          <w:szCs w:val="24"/>
        </w:rPr>
        <w:t>მანანა კობახიძე – სხდომის თავმჯდომარე;</w:t>
      </w:r>
    </w:p>
    <w:p w14:paraId="47826AC4" w14:textId="77777777" w:rsidR="00C6579A" w:rsidRPr="000C625B" w:rsidRDefault="00C6579A" w:rsidP="008F5B8D">
      <w:pPr>
        <w:spacing w:after="0"/>
        <w:ind w:firstLine="284"/>
        <w:jc w:val="both"/>
        <w:rPr>
          <w:rFonts w:ascii="Sylfaen" w:hAnsi="Sylfaen"/>
          <w:sz w:val="24"/>
          <w:szCs w:val="24"/>
        </w:rPr>
      </w:pPr>
      <w:r w:rsidRPr="000C625B">
        <w:rPr>
          <w:rFonts w:ascii="Sylfaen" w:hAnsi="Sylfaen"/>
          <w:sz w:val="24"/>
          <w:szCs w:val="24"/>
        </w:rPr>
        <w:t xml:space="preserve">ირინე იმერლიშვილი </w:t>
      </w:r>
      <w:r w:rsidR="007656DD" w:rsidRPr="000C625B">
        <w:rPr>
          <w:rFonts w:ascii="Sylfaen" w:hAnsi="Sylfaen"/>
          <w:sz w:val="24"/>
          <w:szCs w:val="24"/>
        </w:rPr>
        <w:t>–</w:t>
      </w:r>
      <w:r w:rsidRPr="000C625B">
        <w:rPr>
          <w:rFonts w:ascii="Sylfaen" w:hAnsi="Sylfaen"/>
          <w:sz w:val="24"/>
          <w:szCs w:val="24"/>
        </w:rPr>
        <w:t xml:space="preserve"> წევრი</w:t>
      </w:r>
      <w:r w:rsidR="003A4E2B" w:rsidRPr="000C625B">
        <w:rPr>
          <w:rFonts w:ascii="Sylfaen" w:hAnsi="Sylfaen"/>
          <w:sz w:val="24"/>
          <w:szCs w:val="24"/>
        </w:rPr>
        <w:t>;</w:t>
      </w:r>
    </w:p>
    <w:p w14:paraId="7146BB1D" w14:textId="77777777" w:rsidR="007656DD" w:rsidRPr="000C625B" w:rsidRDefault="007656DD" w:rsidP="008F5B8D">
      <w:pPr>
        <w:spacing w:after="0"/>
        <w:ind w:firstLine="284"/>
        <w:jc w:val="both"/>
        <w:rPr>
          <w:rFonts w:ascii="Sylfaen" w:hAnsi="Sylfaen"/>
          <w:sz w:val="24"/>
          <w:szCs w:val="24"/>
        </w:rPr>
      </w:pPr>
      <w:r w:rsidRPr="000C625B">
        <w:rPr>
          <w:rFonts w:ascii="Sylfaen" w:hAnsi="Sylfaen"/>
          <w:sz w:val="24"/>
          <w:szCs w:val="24"/>
        </w:rPr>
        <w:t>ხვიჩა კიკილაშვილი – წევრი</w:t>
      </w:r>
      <w:r w:rsidR="003A4E2B" w:rsidRPr="000C625B">
        <w:rPr>
          <w:rFonts w:ascii="Sylfaen" w:hAnsi="Sylfaen"/>
          <w:sz w:val="24"/>
          <w:szCs w:val="24"/>
        </w:rPr>
        <w:t>, მომხსენებელი მოსამართლე;</w:t>
      </w:r>
    </w:p>
    <w:p w14:paraId="4185468A" w14:textId="77777777" w:rsidR="007656DD" w:rsidRPr="000C625B" w:rsidRDefault="007656DD" w:rsidP="008F5B8D">
      <w:pPr>
        <w:spacing w:after="0"/>
        <w:ind w:firstLine="284"/>
        <w:jc w:val="both"/>
        <w:rPr>
          <w:rFonts w:ascii="Sylfaen" w:hAnsi="Sylfaen"/>
          <w:sz w:val="24"/>
          <w:szCs w:val="24"/>
        </w:rPr>
      </w:pPr>
      <w:r w:rsidRPr="000C625B">
        <w:rPr>
          <w:rFonts w:ascii="Sylfaen" w:hAnsi="Sylfaen"/>
          <w:sz w:val="24"/>
          <w:szCs w:val="24"/>
        </w:rPr>
        <w:t>თეიმურაზ ტუღუში – წევრი.</w:t>
      </w:r>
    </w:p>
    <w:p w14:paraId="30EFF17A" w14:textId="77777777" w:rsidR="00C6579A" w:rsidRPr="000C625B" w:rsidRDefault="00C6579A" w:rsidP="008F5B8D">
      <w:pPr>
        <w:spacing w:after="0"/>
        <w:ind w:firstLine="284"/>
        <w:jc w:val="both"/>
        <w:rPr>
          <w:rFonts w:ascii="Sylfaen" w:hAnsi="Sylfaen"/>
          <w:sz w:val="24"/>
          <w:szCs w:val="24"/>
        </w:rPr>
      </w:pPr>
    </w:p>
    <w:p w14:paraId="000FAAE5" w14:textId="77777777" w:rsidR="00C6579A" w:rsidRPr="000C625B" w:rsidRDefault="00C6579A" w:rsidP="008F5B8D">
      <w:pPr>
        <w:spacing w:after="0"/>
        <w:ind w:firstLine="284"/>
        <w:jc w:val="both"/>
        <w:rPr>
          <w:rFonts w:ascii="Sylfaen" w:hAnsi="Sylfaen"/>
          <w:bCs/>
          <w:sz w:val="24"/>
          <w:szCs w:val="24"/>
        </w:rPr>
      </w:pPr>
      <w:r w:rsidRPr="000C625B">
        <w:rPr>
          <w:rFonts w:ascii="Sylfaen" w:hAnsi="Sylfaen"/>
          <w:b/>
          <w:bCs/>
          <w:sz w:val="24"/>
          <w:szCs w:val="24"/>
        </w:rPr>
        <w:t xml:space="preserve">სხდომის მდივანი: </w:t>
      </w:r>
      <w:r w:rsidR="00BD5740" w:rsidRPr="000C625B">
        <w:rPr>
          <w:rFonts w:ascii="Sylfaen" w:hAnsi="Sylfaen"/>
          <w:bCs/>
          <w:sz w:val="24"/>
          <w:szCs w:val="24"/>
        </w:rPr>
        <w:t>მანანა ლომთათიძე</w:t>
      </w:r>
      <w:r w:rsidR="007656DD" w:rsidRPr="000C625B">
        <w:rPr>
          <w:rFonts w:ascii="Sylfaen" w:hAnsi="Sylfaen"/>
          <w:bCs/>
          <w:sz w:val="24"/>
          <w:szCs w:val="24"/>
        </w:rPr>
        <w:t>.</w:t>
      </w:r>
    </w:p>
    <w:p w14:paraId="741BB0EF" w14:textId="77777777" w:rsidR="00C6579A" w:rsidRPr="000C625B" w:rsidRDefault="00C6579A" w:rsidP="008F5B8D">
      <w:pPr>
        <w:spacing w:after="0"/>
        <w:ind w:firstLine="284"/>
        <w:jc w:val="both"/>
        <w:rPr>
          <w:rFonts w:ascii="Sylfaen" w:hAnsi="Sylfaen"/>
          <w:bCs/>
          <w:sz w:val="24"/>
          <w:szCs w:val="24"/>
        </w:rPr>
      </w:pPr>
    </w:p>
    <w:p w14:paraId="655FC54C" w14:textId="77777777" w:rsidR="00C6579A" w:rsidRPr="000C625B" w:rsidRDefault="00C6579A" w:rsidP="008F5B8D">
      <w:pPr>
        <w:spacing w:after="0"/>
        <w:ind w:firstLine="284"/>
        <w:jc w:val="both"/>
        <w:rPr>
          <w:rFonts w:ascii="Sylfaen" w:hAnsi="Sylfaen"/>
          <w:sz w:val="24"/>
          <w:szCs w:val="24"/>
        </w:rPr>
      </w:pPr>
      <w:r w:rsidRPr="000C625B">
        <w:rPr>
          <w:rFonts w:ascii="Sylfaen" w:hAnsi="Sylfaen"/>
          <w:b/>
          <w:bCs/>
          <w:sz w:val="24"/>
          <w:szCs w:val="24"/>
        </w:rPr>
        <w:t>საქმის დასახელება:</w:t>
      </w:r>
      <w:r w:rsidR="00472869" w:rsidRPr="000C625B">
        <w:rPr>
          <w:rFonts w:ascii="Sylfaen" w:hAnsi="Sylfaen"/>
          <w:b/>
          <w:bCs/>
          <w:sz w:val="24"/>
          <w:szCs w:val="24"/>
        </w:rPr>
        <w:t xml:space="preserve"> </w:t>
      </w:r>
      <w:r w:rsidR="00BD5740" w:rsidRPr="000C625B">
        <w:rPr>
          <w:rFonts w:ascii="Sylfaen" w:hAnsi="Sylfaen"/>
          <w:sz w:val="24"/>
          <w:szCs w:val="24"/>
        </w:rPr>
        <w:t>გი</w:t>
      </w:r>
      <w:r w:rsidR="000E04B2" w:rsidRPr="000C625B">
        <w:rPr>
          <w:rFonts w:ascii="Sylfaen" w:hAnsi="Sylfaen"/>
          <w:sz w:val="24"/>
          <w:szCs w:val="24"/>
        </w:rPr>
        <w:t xml:space="preserve">გა ჭელიძე </w:t>
      </w:r>
      <w:r w:rsidRPr="000C625B">
        <w:rPr>
          <w:rFonts w:ascii="Sylfaen" w:hAnsi="Sylfaen"/>
          <w:sz w:val="24"/>
          <w:szCs w:val="24"/>
        </w:rPr>
        <w:t>საქართველოს პარლამენტის წინააღმდეგ.</w:t>
      </w:r>
    </w:p>
    <w:p w14:paraId="2620E1A2" w14:textId="77777777" w:rsidR="00C6579A" w:rsidRPr="000C625B" w:rsidRDefault="00C6579A" w:rsidP="008F5B8D">
      <w:pPr>
        <w:spacing w:after="0"/>
        <w:ind w:firstLine="284"/>
        <w:jc w:val="both"/>
        <w:rPr>
          <w:rFonts w:ascii="Sylfaen" w:hAnsi="Sylfaen"/>
          <w:sz w:val="24"/>
          <w:szCs w:val="24"/>
        </w:rPr>
      </w:pPr>
    </w:p>
    <w:p w14:paraId="567CC257" w14:textId="08977724" w:rsidR="00951944" w:rsidRDefault="00C6579A" w:rsidP="00951944">
      <w:pPr>
        <w:spacing w:after="0"/>
        <w:ind w:firstLine="284"/>
        <w:jc w:val="both"/>
        <w:rPr>
          <w:rFonts w:ascii="Sylfaen" w:hAnsi="Sylfaen"/>
          <w:sz w:val="24"/>
          <w:szCs w:val="24"/>
        </w:rPr>
      </w:pPr>
      <w:r w:rsidRPr="000C625B">
        <w:rPr>
          <w:rFonts w:ascii="Sylfaen" w:hAnsi="Sylfaen"/>
          <w:b/>
          <w:sz w:val="24"/>
          <w:szCs w:val="24"/>
        </w:rPr>
        <w:t>დავის საგანი:</w:t>
      </w:r>
      <w:r w:rsidRPr="000C625B">
        <w:rPr>
          <w:rFonts w:ascii="Sylfaen" w:hAnsi="Sylfaen"/>
          <w:sz w:val="24"/>
          <w:szCs w:val="24"/>
        </w:rPr>
        <w:t xml:space="preserve"> </w:t>
      </w:r>
      <w:r w:rsidR="00BD5740" w:rsidRPr="000C625B">
        <w:rPr>
          <w:rFonts w:ascii="Sylfaen" w:hAnsi="Sylfaen"/>
          <w:sz w:val="24"/>
          <w:szCs w:val="24"/>
        </w:rPr>
        <w:t xml:space="preserve">საქართველოს </w:t>
      </w:r>
      <w:r w:rsidR="00064778" w:rsidRPr="000C625B">
        <w:rPr>
          <w:rFonts w:ascii="Sylfaen" w:hAnsi="Sylfaen"/>
          <w:sz w:val="24"/>
          <w:szCs w:val="24"/>
        </w:rPr>
        <w:t>სისხლის სამართლის</w:t>
      </w:r>
      <w:r w:rsidR="00BD5740" w:rsidRPr="000C625B">
        <w:rPr>
          <w:rFonts w:ascii="Sylfaen" w:hAnsi="Sylfaen"/>
          <w:sz w:val="24"/>
          <w:szCs w:val="24"/>
        </w:rPr>
        <w:t xml:space="preserve"> კოდექსის</w:t>
      </w:r>
      <w:r w:rsidR="00B72070" w:rsidRPr="000C625B">
        <w:rPr>
          <w:rFonts w:ascii="Sylfaen" w:hAnsi="Sylfaen"/>
          <w:sz w:val="24"/>
          <w:szCs w:val="24"/>
        </w:rPr>
        <w:t xml:space="preserve"> 236-ე მუხლის მე-3 ნაწილის</w:t>
      </w:r>
      <w:r w:rsidR="00AE4BA5" w:rsidRPr="000C625B">
        <w:rPr>
          <w:rFonts w:ascii="Sylfaen" w:hAnsi="Sylfaen"/>
          <w:sz w:val="24"/>
          <w:szCs w:val="24"/>
        </w:rPr>
        <w:t xml:space="preserve"> და „იარაღის შესახებ“ საქართველოს კანონის მე-19 მუხლის მე-2 პუნქტის „ბ“ ქვეპუნქტის</w:t>
      </w:r>
      <w:r w:rsidR="00BD5740" w:rsidRPr="000C625B">
        <w:rPr>
          <w:rFonts w:ascii="Sylfaen" w:hAnsi="Sylfaen"/>
          <w:sz w:val="24"/>
          <w:szCs w:val="24"/>
        </w:rPr>
        <w:t xml:space="preserve"> </w:t>
      </w:r>
      <w:r w:rsidRPr="000C625B">
        <w:rPr>
          <w:rFonts w:ascii="Sylfaen" w:hAnsi="Sylfaen"/>
          <w:sz w:val="24"/>
          <w:szCs w:val="24"/>
        </w:rPr>
        <w:t>კონსტიტუციურობა საქართველოს კონსტიტუციის</w:t>
      </w:r>
      <w:r w:rsidR="00AE07A1" w:rsidRPr="000C625B">
        <w:rPr>
          <w:rFonts w:ascii="Sylfaen" w:hAnsi="Sylfaen"/>
          <w:sz w:val="24"/>
          <w:szCs w:val="24"/>
        </w:rPr>
        <w:t xml:space="preserve"> </w:t>
      </w:r>
      <w:r w:rsidR="005D7CE0" w:rsidRPr="000C625B">
        <w:rPr>
          <w:rFonts w:ascii="Sylfaen" w:hAnsi="Sylfaen"/>
          <w:sz w:val="24"/>
          <w:szCs w:val="24"/>
        </w:rPr>
        <w:t>31-ე მუხლის მე-9 პუნქტის პირველ წინადადებასთან</w:t>
      </w:r>
      <w:r w:rsidR="00AE07A1" w:rsidRPr="000C625B">
        <w:rPr>
          <w:rFonts w:ascii="Sylfaen" w:hAnsi="Sylfaen"/>
          <w:sz w:val="24"/>
          <w:szCs w:val="24"/>
        </w:rPr>
        <w:t xml:space="preserve"> </w:t>
      </w:r>
      <w:r w:rsidRPr="000C625B">
        <w:rPr>
          <w:rFonts w:ascii="Sylfaen" w:hAnsi="Sylfaen"/>
          <w:sz w:val="24"/>
          <w:szCs w:val="24"/>
        </w:rPr>
        <w:t>მიმართებით.</w:t>
      </w:r>
    </w:p>
    <w:p w14:paraId="35C24F6F" w14:textId="77777777" w:rsidR="00517606" w:rsidRPr="000C625B" w:rsidRDefault="00517606" w:rsidP="00951944">
      <w:pPr>
        <w:spacing w:after="0"/>
        <w:ind w:firstLine="284"/>
        <w:jc w:val="both"/>
        <w:rPr>
          <w:rFonts w:ascii="Sylfaen" w:hAnsi="Sylfaen"/>
          <w:sz w:val="24"/>
          <w:szCs w:val="24"/>
        </w:rPr>
      </w:pPr>
    </w:p>
    <w:p w14:paraId="0B38702E" w14:textId="64AC0864" w:rsidR="00016FFE" w:rsidRPr="000C625B" w:rsidRDefault="00016FFE" w:rsidP="00951944">
      <w:pPr>
        <w:spacing w:after="0"/>
        <w:ind w:firstLine="284"/>
        <w:jc w:val="both"/>
        <w:rPr>
          <w:rFonts w:ascii="Sylfaen" w:hAnsi="Sylfaen"/>
          <w:sz w:val="24"/>
          <w:szCs w:val="24"/>
        </w:rPr>
      </w:pPr>
      <w:r w:rsidRPr="000C625B">
        <w:rPr>
          <w:rFonts w:ascii="Sylfaen" w:hAnsi="Sylfaen"/>
          <w:b/>
          <w:bCs/>
          <w:sz w:val="24"/>
          <w:szCs w:val="24"/>
        </w:rPr>
        <w:t>საქმის განხილვის მონაწილეები:</w:t>
      </w:r>
      <w:r w:rsidRPr="000C625B">
        <w:rPr>
          <w:rFonts w:ascii="Sylfaen" w:hAnsi="Sylfaen"/>
          <w:sz w:val="24"/>
          <w:szCs w:val="24"/>
        </w:rPr>
        <w:t xml:space="preserve"> მოსარჩელე - გიგა ჭელიძე და მოსარჩელის წარმომადგენელი - ბესარიონ ბოჭორიშვილი; მოპასუხე მხარის, საქართველოს პარლამენტის წარმომადგენლები - ქრისტინე კუპრავა და ლევან </w:t>
      </w:r>
      <w:proofErr w:type="spellStart"/>
      <w:r w:rsidRPr="000C625B">
        <w:rPr>
          <w:rFonts w:ascii="Sylfaen" w:hAnsi="Sylfaen"/>
          <w:sz w:val="24"/>
          <w:szCs w:val="24"/>
        </w:rPr>
        <w:t>ღავთაძე</w:t>
      </w:r>
      <w:proofErr w:type="spellEnd"/>
      <w:r w:rsidRPr="000C625B">
        <w:rPr>
          <w:rFonts w:ascii="Sylfaen" w:hAnsi="Sylfaen"/>
          <w:sz w:val="24"/>
          <w:szCs w:val="24"/>
        </w:rPr>
        <w:t xml:space="preserve">; მოწმეები - </w:t>
      </w:r>
      <w:r w:rsidR="00E82470" w:rsidRPr="00E82470">
        <w:rPr>
          <w:rFonts w:ascii="Sylfaen" w:hAnsi="Sylfaen"/>
          <w:sz w:val="24"/>
          <w:szCs w:val="24"/>
        </w:rPr>
        <w:t xml:space="preserve">სსიპ საქართველოს შინაგან საქმეთა სამინისტროს მომსახურების სააგენტოს დირექტორის მოადგილე კახაბერ </w:t>
      </w:r>
      <w:proofErr w:type="spellStart"/>
      <w:r w:rsidR="00E82470" w:rsidRPr="00E82470">
        <w:rPr>
          <w:rFonts w:ascii="Sylfaen" w:hAnsi="Sylfaen"/>
          <w:sz w:val="24"/>
          <w:szCs w:val="24"/>
        </w:rPr>
        <w:t>სოფრომიძე</w:t>
      </w:r>
      <w:proofErr w:type="spellEnd"/>
      <w:r w:rsidR="00E82470" w:rsidRPr="00E82470">
        <w:rPr>
          <w:rFonts w:ascii="Sylfaen" w:hAnsi="Sylfaen"/>
          <w:sz w:val="24"/>
          <w:szCs w:val="24"/>
        </w:rPr>
        <w:t xml:space="preserve">; </w:t>
      </w:r>
      <w:r w:rsidR="00E82470">
        <w:rPr>
          <w:rFonts w:ascii="Sylfaen" w:hAnsi="Sylfaen"/>
          <w:sz w:val="24"/>
          <w:szCs w:val="24"/>
        </w:rPr>
        <w:t xml:space="preserve">სსიპ </w:t>
      </w:r>
      <w:r w:rsidRPr="000C625B">
        <w:rPr>
          <w:rFonts w:ascii="Sylfaen" w:hAnsi="Sylfaen"/>
          <w:sz w:val="24"/>
          <w:szCs w:val="24"/>
        </w:rPr>
        <w:t xml:space="preserve">საქართველოს შინაგან საქმეთა </w:t>
      </w:r>
      <w:r w:rsidRPr="000C625B">
        <w:rPr>
          <w:rFonts w:ascii="Sylfaen" w:hAnsi="Sylfaen"/>
          <w:sz w:val="24"/>
          <w:szCs w:val="24"/>
        </w:rPr>
        <w:lastRenderedPageBreak/>
        <w:t>სამინისტროს მომსახურების სააგენტოს იურიდიულ</w:t>
      </w:r>
      <w:r w:rsidR="007B4364">
        <w:rPr>
          <w:rFonts w:ascii="Sylfaen" w:hAnsi="Sylfaen"/>
          <w:sz w:val="24"/>
          <w:szCs w:val="24"/>
        </w:rPr>
        <w:t>ი</w:t>
      </w:r>
      <w:r w:rsidRPr="000C625B">
        <w:rPr>
          <w:rFonts w:ascii="Sylfaen" w:hAnsi="Sylfaen"/>
          <w:sz w:val="24"/>
          <w:szCs w:val="24"/>
        </w:rPr>
        <w:t xml:space="preserve"> სამმართველოს უფროსი თინათინ </w:t>
      </w:r>
      <w:proofErr w:type="spellStart"/>
      <w:r w:rsidRPr="000C625B">
        <w:rPr>
          <w:rFonts w:ascii="Sylfaen" w:hAnsi="Sylfaen"/>
          <w:sz w:val="24"/>
          <w:szCs w:val="24"/>
        </w:rPr>
        <w:t>ქვაცბაია</w:t>
      </w:r>
      <w:proofErr w:type="spellEnd"/>
      <w:r w:rsidRPr="000C625B">
        <w:rPr>
          <w:rFonts w:ascii="Sylfaen" w:hAnsi="Sylfaen"/>
          <w:sz w:val="24"/>
          <w:szCs w:val="24"/>
        </w:rPr>
        <w:t xml:space="preserve">; თავდაცვის სამინისტროს იურიდიული დეპარტამენტის უფროსის მოადგილე ვეფხვია გრიგალაშვილი; საქართველოს თავდაცვის სამინისტროს სამხედრო-ტექნიკურ საკითხთა დეპარტამენტის ლიცენზიებისა და ნებართვების სამმართველოს უფროსი ვასილ მოდრეკელიძე; საქართველოს თავდაცვის ძალების გენერალური შტაბის J-4 </w:t>
      </w:r>
      <w:proofErr w:type="spellStart"/>
      <w:r w:rsidRPr="000C625B">
        <w:rPr>
          <w:rFonts w:ascii="Sylfaen" w:hAnsi="Sylfaen"/>
          <w:sz w:val="24"/>
          <w:szCs w:val="24"/>
        </w:rPr>
        <w:t>ლოჯისტიკის</w:t>
      </w:r>
      <w:proofErr w:type="spellEnd"/>
      <w:r w:rsidRPr="000C625B">
        <w:rPr>
          <w:rFonts w:ascii="Sylfaen" w:hAnsi="Sylfaen"/>
          <w:sz w:val="24"/>
          <w:szCs w:val="24"/>
        </w:rPr>
        <w:t xml:space="preserve"> დაგეგმვის დეპარტამენტის შეიარაღების ტექნიკისა და საბრძოლო მასალების დაგეგმვის სამმართველოს საბრძოლო მასალების დაგეგმვის განყოფილების უფროსი ბესიკ ლაზარიაშვილი</w:t>
      </w:r>
      <w:r w:rsidR="00951944" w:rsidRPr="000C625B">
        <w:rPr>
          <w:rFonts w:ascii="Sylfaen" w:hAnsi="Sylfaen"/>
          <w:sz w:val="24"/>
          <w:szCs w:val="24"/>
        </w:rPr>
        <w:t>; შინაგან საქმეთა სამინისტროს ექსპერტიზის მთავარი სამმართველოს კრიმინალისტიკური ექსპერტიზის სამმართველოს ბალისტიკური მონაცემების აღრიცხვისა და ექსპერტიზის სამსახურის უფროს</w:t>
      </w:r>
      <w:r w:rsidR="007B4364">
        <w:rPr>
          <w:rFonts w:ascii="Sylfaen" w:hAnsi="Sylfaen"/>
          <w:sz w:val="24"/>
          <w:szCs w:val="24"/>
        </w:rPr>
        <w:t>ი</w:t>
      </w:r>
      <w:r w:rsidR="00951944" w:rsidRPr="000C625B">
        <w:rPr>
          <w:rFonts w:ascii="Sylfaen" w:hAnsi="Sylfaen"/>
          <w:sz w:val="24"/>
          <w:szCs w:val="24"/>
        </w:rPr>
        <w:t xml:space="preserve"> კახაბერ როდონაია; შინაგან საქმეთა სამინისტროს </w:t>
      </w:r>
      <w:proofErr w:type="spellStart"/>
      <w:r w:rsidR="00951944" w:rsidRPr="000C625B">
        <w:rPr>
          <w:rFonts w:ascii="Sylfaen" w:hAnsi="Sylfaen"/>
          <w:sz w:val="24"/>
          <w:szCs w:val="24"/>
        </w:rPr>
        <w:t>საექსპერტო</w:t>
      </w:r>
      <w:proofErr w:type="spellEnd"/>
      <w:r w:rsidR="00951944" w:rsidRPr="000C625B">
        <w:rPr>
          <w:rFonts w:ascii="Sylfaen" w:hAnsi="Sylfaen"/>
          <w:sz w:val="24"/>
          <w:szCs w:val="24"/>
        </w:rPr>
        <w:t>-კრიმინალისტიკური დეპარტამენტი</w:t>
      </w:r>
      <w:r w:rsidR="007B4364">
        <w:rPr>
          <w:rFonts w:ascii="Sylfaen" w:hAnsi="Sylfaen"/>
          <w:sz w:val="24"/>
          <w:szCs w:val="24"/>
        </w:rPr>
        <w:t>ს</w:t>
      </w:r>
      <w:r w:rsidR="00951944" w:rsidRPr="000C625B">
        <w:rPr>
          <w:rFonts w:ascii="Sylfaen" w:hAnsi="Sylfaen"/>
          <w:sz w:val="24"/>
          <w:szCs w:val="24"/>
        </w:rPr>
        <w:t xml:space="preserve"> ექსპერტიზის მთავარი სამმართველოს უფროსი ირაკლი ვერულაშვილი; ექსპერტიზის მთავარი სამმართველოს კრიმინალისტიკური ექსპერტიზის სამმართველოს ბალისტიკური მონაცემების აღრიცხვისა და ექსპერტიზის სამსახურის ბალისტიკური ექსპერტიზის განყოფილების უფროსი გიორგი ძინძიბაძე</w:t>
      </w:r>
      <w:r w:rsidR="0031185A" w:rsidRPr="000C625B">
        <w:rPr>
          <w:rFonts w:ascii="Sylfaen" w:hAnsi="Sylfaen"/>
          <w:sz w:val="24"/>
          <w:szCs w:val="24"/>
        </w:rPr>
        <w:t xml:space="preserve">; </w:t>
      </w:r>
      <w:r w:rsidR="0031185A" w:rsidRPr="000C625B">
        <w:rPr>
          <w:rStyle w:val="Strong"/>
          <w:rFonts w:ascii="Sylfaen" w:hAnsi="Sylfaen"/>
          <w:b w:val="0"/>
          <w:bCs w:val="0"/>
          <w:sz w:val="24"/>
          <w:szCs w:val="24"/>
        </w:rPr>
        <w:t>სასამართლო ექსპერტიზის ბიუროს ექსპერტი ალექსანდრე ანჯაფარიძე.</w:t>
      </w:r>
    </w:p>
    <w:p w14:paraId="0F344FC2" w14:textId="073BF708" w:rsidR="00016FFE" w:rsidRDefault="00016FFE" w:rsidP="008F5B8D">
      <w:pPr>
        <w:spacing w:after="0"/>
        <w:ind w:firstLine="284"/>
        <w:jc w:val="both"/>
        <w:rPr>
          <w:rFonts w:ascii="Sylfaen" w:hAnsi="Sylfaen"/>
          <w:sz w:val="24"/>
          <w:szCs w:val="24"/>
        </w:rPr>
      </w:pPr>
    </w:p>
    <w:p w14:paraId="2280B577" w14:textId="77777777" w:rsidR="007F4581" w:rsidRPr="000C625B" w:rsidRDefault="007F4581" w:rsidP="008F5B8D">
      <w:pPr>
        <w:spacing w:after="0"/>
        <w:ind w:firstLine="284"/>
        <w:jc w:val="both"/>
        <w:rPr>
          <w:rFonts w:ascii="Sylfaen" w:hAnsi="Sylfaen"/>
          <w:sz w:val="24"/>
          <w:szCs w:val="24"/>
        </w:rPr>
      </w:pPr>
    </w:p>
    <w:p w14:paraId="64E47E0C" w14:textId="77777777" w:rsidR="00C6579A" w:rsidRPr="000C625B" w:rsidRDefault="00C6579A" w:rsidP="008918C8">
      <w:pPr>
        <w:pStyle w:val="Heading1"/>
        <w:spacing w:before="0"/>
        <w:rPr>
          <w:bCs/>
          <w:szCs w:val="24"/>
          <w:lang w:val="ka-GE"/>
        </w:rPr>
      </w:pPr>
      <w:r w:rsidRPr="000C625B">
        <w:rPr>
          <w:bCs/>
          <w:szCs w:val="24"/>
          <w:lang w:val="ka-GE"/>
        </w:rPr>
        <w:t>I</w:t>
      </w:r>
      <w:r w:rsidR="00332541" w:rsidRPr="000C625B">
        <w:rPr>
          <w:bCs/>
          <w:szCs w:val="24"/>
          <w:lang w:val="ka-GE"/>
        </w:rPr>
        <w:br/>
      </w:r>
      <w:r w:rsidRPr="000C625B">
        <w:rPr>
          <w:szCs w:val="24"/>
          <w:lang w:val="ka-GE"/>
        </w:rPr>
        <w:t>აღწერილობითი</w:t>
      </w:r>
      <w:r w:rsidR="005D413F" w:rsidRPr="000C625B">
        <w:rPr>
          <w:szCs w:val="24"/>
          <w:lang w:val="ka-GE"/>
        </w:rPr>
        <w:t xml:space="preserve"> </w:t>
      </w:r>
      <w:r w:rsidRPr="000C625B">
        <w:rPr>
          <w:szCs w:val="24"/>
          <w:lang w:val="ka-GE"/>
        </w:rPr>
        <w:t>ნაწილი</w:t>
      </w:r>
    </w:p>
    <w:p w14:paraId="2CC47185" w14:textId="77777777" w:rsidR="00C6579A" w:rsidRPr="000C625B" w:rsidRDefault="00C6579A" w:rsidP="008918C8">
      <w:pPr>
        <w:spacing w:after="0"/>
        <w:ind w:firstLine="567"/>
        <w:contextualSpacing/>
        <w:jc w:val="both"/>
        <w:rPr>
          <w:rFonts w:ascii="Sylfaen" w:hAnsi="Sylfaen" w:cs="Sylfaen"/>
          <w:b/>
          <w:bCs/>
          <w:sz w:val="24"/>
          <w:szCs w:val="24"/>
        </w:rPr>
      </w:pPr>
    </w:p>
    <w:p w14:paraId="0743C905" w14:textId="77777777" w:rsidR="00C6579A" w:rsidRPr="000C625B" w:rsidRDefault="00C6579A" w:rsidP="008F5B8D">
      <w:pPr>
        <w:numPr>
          <w:ilvl w:val="0"/>
          <w:numId w:val="1"/>
        </w:numPr>
        <w:spacing w:after="0"/>
        <w:ind w:left="0" w:firstLine="284"/>
        <w:contextualSpacing/>
        <w:jc w:val="both"/>
        <w:rPr>
          <w:rFonts w:ascii="Sylfaen" w:hAnsi="Sylfaen" w:cs="Sylfaen"/>
          <w:bCs/>
          <w:sz w:val="24"/>
          <w:szCs w:val="24"/>
        </w:rPr>
      </w:pPr>
      <w:r w:rsidRPr="000C625B">
        <w:rPr>
          <w:rFonts w:ascii="Sylfaen" w:hAnsi="Sylfaen" w:cs="Sylfaen"/>
          <w:bCs/>
          <w:sz w:val="24"/>
          <w:szCs w:val="24"/>
        </w:rPr>
        <w:t>საქართველოს</w:t>
      </w:r>
      <w:r w:rsidR="00472869" w:rsidRPr="000C625B">
        <w:rPr>
          <w:rFonts w:ascii="Sylfaen" w:hAnsi="Sylfaen" w:cs="Sylfaen"/>
          <w:bCs/>
          <w:sz w:val="24"/>
          <w:szCs w:val="24"/>
        </w:rPr>
        <w:t xml:space="preserve"> </w:t>
      </w:r>
      <w:r w:rsidRPr="000C625B">
        <w:rPr>
          <w:rFonts w:ascii="Sylfaen" w:hAnsi="Sylfaen" w:cs="Sylfaen"/>
          <w:bCs/>
          <w:sz w:val="24"/>
          <w:szCs w:val="24"/>
        </w:rPr>
        <w:t>საკონსტიტუციო</w:t>
      </w:r>
      <w:r w:rsidR="00472869" w:rsidRPr="000C625B">
        <w:rPr>
          <w:rFonts w:ascii="Sylfaen" w:hAnsi="Sylfaen" w:cs="Sylfaen"/>
          <w:bCs/>
          <w:sz w:val="24"/>
          <w:szCs w:val="24"/>
        </w:rPr>
        <w:t xml:space="preserve"> </w:t>
      </w:r>
      <w:r w:rsidRPr="000C625B">
        <w:rPr>
          <w:rFonts w:ascii="Sylfaen" w:hAnsi="Sylfaen" w:cs="Sylfaen"/>
          <w:bCs/>
          <w:sz w:val="24"/>
          <w:szCs w:val="24"/>
        </w:rPr>
        <w:t>სასამართლოს 20</w:t>
      </w:r>
      <w:r w:rsidR="00FE2F2A" w:rsidRPr="000C625B">
        <w:rPr>
          <w:rFonts w:ascii="Sylfaen" w:hAnsi="Sylfaen" w:cs="Sylfaen"/>
          <w:bCs/>
          <w:sz w:val="24"/>
          <w:szCs w:val="24"/>
        </w:rPr>
        <w:t>19</w:t>
      </w:r>
      <w:r w:rsidRPr="000C625B">
        <w:rPr>
          <w:rFonts w:ascii="Sylfaen" w:hAnsi="Sylfaen" w:cs="Sylfaen"/>
          <w:bCs/>
          <w:sz w:val="24"/>
          <w:szCs w:val="24"/>
        </w:rPr>
        <w:t xml:space="preserve"> წლის </w:t>
      </w:r>
      <w:r w:rsidR="00FE2F2A" w:rsidRPr="000C625B">
        <w:rPr>
          <w:rFonts w:ascii="Sylfaen" w:hAnsi="Sylfaen" w:cs="Sylfaen"/>
          <w:bCs/>
          <w:sz w:val="24"/>
          <w:szCs w:val="24"/>
        </w:rPr>
        <w:t>27</w:t>
      </w:r>
      <w:r w:rsidR="00AE07A1" w:rsidRPr="000C625B">
        <w:rPr>
          <w:rFonts w:ascii="Sylfaen" w:hAnsi="Sylfaen" w:cs="Sylfaen"/>
          <w:bCs/>
          <w:sz w:val="24"/>
          <w:szCs w:val="24"/>
        </w:rPr>
        <w:t xml:space="preserve"> დეკემბერს</w:t>
      </w:r>
      <w:r w:rsidR="0017022F" w:rsidRPr="000C625B">
        <w:rPr>
          <w:rFonts w:ascii="Sylfaen" w:hAnsi="Sylfaen" w:cs="Sylfaen"/>
          <w:bCs/>
          <w:sz w:val="24"/>
          <w:szCs w:val="24"/>
        </w:rPr>
        <w:t xml:space="preserve"> </w:t>
      </w:r>
      <w:r w:rsidRPr="000C625B">
        <w:rPr>
          <w:rFonts w:ascii="Sylfaen" w:hAnsi="Sylfaen" w:cs="Sylfaen"/>
          <w:bCs/>
          <w:sz w:val="24"/>
          <w:szCs w:val="24"/>
        </w:rPr>
        <w:t>კონსტიტუციური</w:t>
      </w:r>
      <w:r w:rsidR="00472869" w:rsidRPr="000C625B">
        <w:rPr>
          <w:rFonts w:ascii="Sylfaen" w:hAnsi="Sylfaen" w:cs="Sylfaen"/>
          <w:bCs/>
          <w:sz w:val="24"/>
          <w:szCs w:val="24"/>
        </w:rPr>
        <w:t xml:space="preserve"> </w:t>
      </w:r>
      <w:r w:rsidRPr="000C625B">
        <w:rPr>
          <w:rFonts w:ascii="Sylfaen" w:hAnsi="Sylfaen" w:cs="Sylfaen"/>
          <w:bCs/>
          <w:sz w:val="24"/>
          <w:szCs w:val="24"/>
        </w:rPr>
        <w:t>სარჩელით (რეგისტრაციის</w:t>
      </w:r>
      <w:r w:rsidR="002A5C23" w:rsidRPr="000C625B">
        <w:rPr>
          <w:rFonts w:ascii="Sylfaen" w:hAnsi="Sylfaen" w:cs="AcadNusx"/>
          <w:bCs/>
          <w:sz w:val="24"/>
          <w:szCs w:val="24"/>
        </w:rPr>
        <w:t xml:space="preserve"> №1</w:t>
      </w:r>
      <w:r w:rsidR="00FE2F2A" w:rsidRPr="000C625B">
        <w:rPr>
          <w:rFonts w:ascii="Sylfaen" w:hAnsi="Sylfaen" w:cs="AcadNusx"/>
          <w:bCs/>
          <w:sz w:val="24"/>
          <w:szCs w:val="24"/>
        </w:rPr>
        <w:t>474</w:t>
      </w:r>
      <w:r w:rsidRPr="000C625B">
        <w:rPr>
          <w:rFonts w:ascii="Sylfaen" w:hAnsi="Sylfaen" w:cs="AcadNusx"/>
          <w:bCs/>
          <w:sz w:val="24"/>
          <w:szCs w:val="24"/>
        </w:rPr>
        <w:t xml:space="preserve">) </w:t>
      </w:r>
      <w:r w:rsidR="002A5C23" w:rsidRPr="000C625B">
        <w:rPr>
          <w:rFonts w:ascii="Sylfaen" w:hAnsi="Sylfaen" w:cs="AcadNusx"/>
          <w:bCs/>
          <w:sz w:val="24"/>
          <w:szCs w:val="24"/>
        </w:rPr>
        <w:t>მო</w:t>
      </w:r>
      <w:r w:rsidR="00AE07A1" w:rsidRPr="000C625B">
        <w:rPr>
          <w:rFonts w:ascii="Sylfaen" w:hAnsi="Sylfaen" w:cs="AcadNusx"/>
          <w:bCs/>
          <w:sz w:val="24"/>
          <w:szCs w:val="24"/>
        </w:rPr>
        <w:t xml:space="preserve">მართა </w:t>
      </w:r>
      <w:r w:rsidR="00FE2F2A" w:rsidRPr="000C625B">
        <w:rPr>
          <w:rFonts w:ascii="Sylfaen" w:hAnsi="Sylfaen" w:cs="AcadNusx"/>
          <w:bCs/>
          <w:sz w:val="24"/>
          <w:szCs w:val="24"/>
        </w:rPr>
        <w:t>გიგა ჭელიძემ</w:t>
      </w:r>
      <w:r w:rsidRPr="000C625B">
        <w:rPr>
          <w:rFonts w:ascii="Sylfaen" w:hAnsi="Sylfaen" w:cs="AcadNusx"/>
          <w:bCs/>
          <w:sz w:val="24"/>
          <w:szCs w:val="24"/>
        </w:rPr>
        <w:t>.</w:t>
      </w:r>
      <w:r w:rsidR="00A25172" w:rsidRPr="000C625B">
        <w:rPr>
          <w:rFonts w:ascii="Sylfaen" w:hAnsi="Sylfaen" w:cs="AcadNusx"/>
          <w:bCs/>
          <w:sz w:val="24"/>
          <w:szCs w:val="24"/>
        </w:rPr>
        <w:t xml:space="preserve"> №</w:t>
      </w:r>
      <w:r w:rsidR="00325912" w:rsidRPr="000C625B">
        <w:rPr>
          <w:rFonts w:ascii="Sylfaen" w:hAnsi="Sylfaen" w:cs="AcadNusx"/>
          <w:bCs/>
          <w:sz w:val="24"/>
          <w:szCs w:val="24"/>
        </w:rPr>
        <w:t>1474</w:t>
      </w:r>
      <w:r w:rsidR="0017022F" w:rsidRPr="000C625B">
        <w:rPr>
          <w:rFonts w:ascii="Sylfaen" w:hAnsi="Sylfaen" w:cs="AcadNusx"/>
          <w:bCs/>
          <w:sz w:val="24"/>
          <w:szCs w:val="24"/>
        </w:rPr>
        <w:t xml:space="preserve"> </w:t>
      </w:r>
      <w:r w:rsidR="00A25172" w:rsidRPr="000C625B">
        <w:rPr>
          <w:rFonts w:ascii="Sylfaen" w:hAnsi="Sylfaen" w:cs="AcadNusx"/>
          <w:bCs/>
          <w:sz w:val="24"/>
          <w:szCs w:val="24"/>
        </w:rPr>
        <w:t>კონსტიტუციური სარჩელი</w:t>
      </w:r>
      <w:r w:rsidR="00472869" w:rsidRPr="000C625B">
        <w:rPr>
          <w:rFonts w:ascii="Sylfaen" w:hAnsi="Sylfaen" w:cs="AcadNusx"/>
          <w:bCs/>
          <w:sz w:val="24"/>
          <w:szCs w:val="24"/>
        </w:rPr>
        <w:t xml:space="preserve"> </w:t>
      </w:r>
      <w:r w:rsidRPr="000C625B">
        <w:rPr>
          <w:rFonts w:ascii="Sylfaen" w:hAnsi="Sylfaen" w:cs="Sylfaen"/>
          <w:sz w:val="24"/>
          <w:szCs w:val="24"/>
        </w:rPr>
        <w:t>საკონსტიტუციო</w:t>
      </w:r>
      <w:r w:rsidR="00472869" w:rsidRPr="000C625B">
        <w:rPr>
          <w:rFonts w:ascii="Sylfaen" w:hAnsi="Sylfaen" w:cs="Sylfaen"/>
          <w:sz w:val="24"/>
          <w:szCs w:val="24"/>
        </w:rPr>
        <w:t xml:space="preserve"> </w:t>
      </w:r>
      <w:r w:rsidRPr="000C625B">
        <w:rPr>
          <w:rFonts w:ascii="Sylfaen" w:hAnsi="Sylfaen" w:cs="Sylfaen"/>
          <w:sz w:val="24"/>
          <w:szCs w:val="24"/>
        </w:rPr>
        <w:t>სასამართლოს</w:t>
      </w:r>
      <w:r w:rsidR="00472869" w:rsidRPr="000C625B">
        <w:rPr>
          <w:rFonts w:ascii="Sylfaen" w:hAnsi="Sylfaen" w:cs="Sylfaen"/>
          <w:sz w:val="24"/>
          <w:szCs w:val="24"/>
        </w:rPr>
        <w:t xml:space="preserve"> </w:t>
      </w:r>
      <w:r w:rsidR="002A5C23" w:rsidRPr="000C625B">
        <w:rPr>
          <w:rFonts w:ascii="Sylfaen" w:hAnsi="Sylfaen" w:cs="Sylfaen"/>
          <w:sz w:val="24"/>
          <w:szCs w:val="24"/>
        </w:rPr>
        <w:t>მეორე</w:t>
      </w:r>
      <w:r w:rsidR="00472869" w:rsidRPr="000C625B">
        <w:rPr>
          <w:rFonts w:ascii="Sylfaen" w:hAnsi="Sylfaen" w:cs="Sylfaen"/>
          <w:sz w:val="24"/>
          <w:szCs w:val="24"/>
        </w:rPr>
        <w:t xml:space="preserve"> </w:t>
      </w:r>
      <w:r w:rsidRPr="000C625B">
        <w:rPr>
          <w:rFonts w:ascii="Sylfaen" w:hAnsi="Sylfaen" w:cs="Sylfaen"/>
          <w:sz w:val="24"/>
          <w:szCs w:val="24"/>
        </w:rPr>
        <w:t>კოლეგიას</w:t>
      </w:r>
      <w:r w:rsidR="005C1503" w:rsidRPr="000C625B">
        <w:rPr>
          <w:rFonts w:ascii="Sylfaen" w:hAnsi="Sylfaen" w:cs="Sylfaen"/>
          <w:sz w:val="24"/>
          <w:szCs w:val="24"/>
        </w:rPr>
        <w:t>,</w:t>
      </w:r>
      <w:r w:rsidRPr="000C625B">
        <w:rPr>
          <w:rFonts w:ascii="Sylfaen" w:hAnsi="Sylfaen" w:cs="Calibri"/>
          <w:sz w:val="24"/>
          <w:szCs w:val="24"/>
        </w:rPr>
        <w:t xml:space="preserve"> არსებითად განსახილველად მიღების საკითხის გადასაწყვეტად</w:t>
      </w:r>
      <w:r w:rsidR="005C1503" w:rsidRPr="000C625B">
        <w:rPr>
          <w:rFonts w:ascii="Sylfaen" w:hAnsi="Sylfaen" w:cs="Calibri"/>
          <w:sz w:val="24"/>
          <w:szCs w:val="24"/>
        </w:rPr>
        <w:t>,</w:t>
      </w:r>
      <w:r w:rsidRPr="000C625B">
        <w:rPr>
          <w:rFonts w:ascii="Sylfaen" w:hAnsi="Sylfaen" w:cs="Calibri"/>
          <w:sz w:val="24"/>
          <w:szCs w:val="24"/>
        </w:rPr>
        <w:t xml:space="preserve"> </w:t>
      </w:r>
      <w:r w:rsidR="00A25172" w:rsidRPr="000C625B">
        <w:rPr>
          <w:rFonts w:ascii="Sylfaen" w:hAnsi="Sylfaen" w:cs="Sylfaen"/>
          <w:sz w:val="24"/>
          <w:szCs w:val="24"/>
        </w:rPr>
        <w:t>გადმო</w:t>
      </w:r>
      <w:r w:rsidRPr="000C625B">
        <w:rPr>
          <w:rFonts w:ascii="Sylfaen" w:hAnsi="Sylfaen" w:cs="Sylfaen"/>
          <w:sz w:val="24"/>
          <w:szCs w:val="24"/>
        </w:rPr>
        <w:t>ეცა</w:t>
      </w:r>
      <w:r w:rsidRPr="000C625B">
        <w:rPr>
          <w:rFonts w:ascii="Sylfaen" w:hAnsi="Sylfaen" w:cs="Calibri"/>
          <w:sz w:val="24"/>
          <w:szCs w:val="24"/>
        </w:rPr>
        <w:t xml:space="preserve"> 20</w:t>
      </w:r>
      <w:r w:rsidR="00325912" w:rsidRPr="000C625B">
        <w:rPr>
          <w:rFonts w:ascii="Sylfaen" w:hAnsi="Sylfaen" w:cs="Calibri"/>
          <w:sz w:val="24"/>
          <w:szCs w:val="24"/>
        </w:rPr>
        <w:t>19</w:t>
      </w:r>
      <w:r w:rsidR="00472869" w:rsidRPr="000C625B">
        <w:rPr>
          <w:rFonts w:ascii="Sylfaen" w:hAnsi="Sylfaen" w:cs="Calibri"/>
          <w:sz w:val="24"/>
          <w:szCs w:val="24"/>
        </w:rPr>
        <w:t xml:space="preserve"> </w:t>
      </w:r>
      <w:r w:rsidRPr="000C625B">
        <w:rPr>
          <w:rFonts w:ascii="Sylfaen" w:hAnsi="Sylfaen" w:cs="Sylfaen"/>
          <w:sz w:val="24"/>
          <w:szCs w:val="24"/>
        </w:rPr>
        <w:t>წლის</w:t>
      </w:r>
      <w:r w:rsidR="00472869" w:rsidRPr="000C625B">
        <w:rPr>
          <w:rFonts w:ascii="Sylfaen" w:hAnsi="Sylfaen" w:cs="Sylfaen"/>
          <w:sz w:val="24"/>
          <w:szCs w:val="24"/>
        </w:rPr>
        <w:t xml:space="preserve"> </w:t>
      </w:r>
      <w:r w:rsidR="00325912" w:rsidRPr="000C625B">
        <w:rPr>
          <w:rFonts w:ascii="Sylfaen" w:hAnsi="Sylfaen" w:cs="Sylfaen"/>
          <w:bCs/>
          <w:sz w:val="24"/>
          <w:szCs w:val="24"/>
        </w:rPr>
        <w:t>30</w:t>
      </w:r>
      <w:r w:rsidR="00F44833" w:rsidRPr="000C625B">
        <w:rPr>
          <w:rFonts w:ascii="Sylfaen" w:hAnsi="Sylfaen" w:cs="Sylfaen"/>
          <w:bCs/>
          <w:sz w:val="24"/>
          <w:szCs w:val="24"/>
        </w:rPr>
        <w:t xml:space="preserve"> </w:t>
      </w:r>
      <w:r w:rsidR="00AE07A1" w:rsidRPr="000C625B">
        <w:rPr>
          <w:rFonts w:ascii="Sylfaen" w:hAnsi="Sylfaen" w:cs="Sylfaen"/>
          <w:bCs/>
          <w:sz w:val="24"/>
          <w:szCs w:val="24"/>
        </w:rPr>
        <w:t>დეკემბერს</w:t>
      </w:r>
      <w:r w:rsidR="00F44833" w:rsidRPr="000C625B">
        <w:rPr>
          <w:rFonts w:ascii="Sylfaen" w:hAnsi="Sylfaen" w:cs="Sylfaen"/>
          <w:bCs/>
          <w:sz w:val="24"/>
          <w:szCs w:val="24"/>
        </w:rPr>
        <w:t xml:space="preserve">. </w:t>
      </w:r>
      <w:r w:rsidRPr="000C625B">
        <w:rPr>
          <w:rFonts w:ascii="Sylfaen" w:hAnsi="Sylfaen" w:cs="Sylfaen"/>
          <w:bCs/>
          <w:sz w:val="24"/>
          <w:szCs w:val="24"/>
        </w:rPr>
        <w:t xml:space="preserve">საკონსტიტუციო სასამართლოს </w:t>
      </w:r>
      <w:r w:rsidR="002A5C23" w:rsidRPr="000C625B">
        <w:rPr>
          <w:rFonts w:ascii="Sylfaen" w:hAnsi="Sylfaen" w:cs="Sylfaen"/>
          <w:bCs/>
          <w:sz w:val="24"/>
          <w:szCs w:val="24"/>
        </w:rPr>
        <w:t>მეორე</w:t>
      </w:r>
      <w:r w:rsidRPr="000C625B">
        <w:rPr>
          <w:rFonts w:ascii="Sylfaen" w:hAnsi="Sylfaen" w:cs="Sylfaen"/>
          <w:bCs/>
          <w:sz w:val="24"/>
          <w:szCs w:val="24"/>
        </w:rPr>
        <w:t xml:space="preserve"> კოლეგიის </w:t>
      </w:r>
      <w:proofErr w:type="spellStart"/>
      <w:r w:rsidRPr="000C625B">
        <w:rPr>
          <w:rFonts w:ascii="Sylfaen" w:hAnsi="Sylfaen" w:cs="Sylfaen"/>
          <w:bCs/>
          <w:sz w:val="24"/>
          <w:szCs w:val="24"/>
        </w:rPr>
        <w:t>განმწესრიგებელი</w:t>
      </w:r>
      <w:proofErr w:type="spellEnd"/>
      <w:r w:rsidR="00472869" w:rsidRPr="000C625B">
        <w:rPr>
          <w:rFonts w:ascii="Sylfaen" w:hAnsi="Sylfaen" w:cs="Sylfaen"/>
          <w:bCs/>
          <w:sz w:val="24"/>
          <w:szCs w:val="24"/>
        </w:rPr>
        <w:t xml:space="preserve"> </w:t>
      </w:r>
      <w:r w:rsidRPr="000C625B">
        <w:rPr>
          <w:rFonts w:ascii="Sylfaen" w:hAnsi="Sylfaen" w:cs="Sylfaen"/>
          <w:bCs/>
          <w:sz w:val="24"/>
          <w:szCs w:val="24"/>
        </w:rPr>
        <w:t>სხდომა, ზეპირი მოსმენი</w:t>
      </w:r>
      <w:r w:rsidR="00393942" w:rsidRPr="000C625B">
        <w:rPr>
          <w:rFonts w:ascii="Sylfaen" w:hAnsi="Sylfaen" w:cs="Sylfaen"/>
          <w:bCs/>
          <w:sz w:val="24"/>
          <w:szCs w:val="24"/>
        </w:rPr>
        <w:t>თ</w:t>
      </w:r>
      <w:r w:rsidRPr="000C625B">
        <w:rPr>
          <w:rFonts w:ascii="Sylfaen" w:hAnsi="Sylfaen" w:cs="Sylfaen"/>
          <w:bCs/>
          <w:sz w:val="24"/>
          <w:szCs w:val="24"/>
        </w:rPr>
        <w:t>, გაიმართა</w:t>
      </w:r>
      <w:r w:rsidR="00173461" w:rsidRPr="000C625B">
        <w:rPr>
          <w:rFonts w:ascii="Sylfaen" w:hAnsi="Sylfaen" w:cs="Sylfaen"/>
          <w:bCs/>
          <w:sz w:val="24"/>
          <w:szCs w:val="24"/>
        </w:rPr>
        <w:t xml:space="preserve"> </w:t>
      </w:r>
      <w:r w:rsidRPr="000C625B">
        <w:rPr>
          <w:rFonts w:ascii="Sylfaen" w:hAnsi="Sylfaen" w:cs="Sylfaen"/>
          <w:bCs/>
          <w:sz w:val="24"/>
          <w:szCs w:val="24"/>
        </w:rPr>
        <w:t>20</w:t>
      </w:r>
      <w:r w:rsidR="00AE07A1" w:rsidRPr="000C625B">
        <w:rPr>
          <w:rFonts w:ascii="Sylfaen" w:hAnsi="Sylfaen" w:cs="Sylfaen"/>
          <w:bCs/>
          <w:sz w:val="24"/>
          <w:szCs w:val="24"/>
        </w:rPr>
        <w:t>2</w:t>
      </w:r>
      <w:r w:rsidR="00393942" w:rsidRPr="000C625B">
        <w:rPr>
          <w:rFonts w:ascii="Sylfaen" w:hAnsi="Sylfaen" w:cs="Sylfaen"/>
          <w:bCs/>
          <w:sz w:val="24"/>
          <w:szCs w:val="24"/>
        </w:rPr>
        <w:t>4</w:t>
      </w:r>
      <w:r w:rsidRPr="000C625B">
        <w:rPr>
          <w:rFonts w:ascii="Sylfaen" w:hAnsi="Sylfaen" w:cs="Sylfaen"/>
          <w:bCs/>
          <w:sz w:val="24"/>
          <w:szCs w:val="24"/>
        </w:rPr>
        <w:t xml:space="preserve"> </w:t>
      </w:r>
      <w:r w:rsidR="00395C4E" w:rsidRPr="000C625B">
        <w:rPr>
          <w:rFonts w:ascii="Sylfaen" w:hAnsi="Sylfaen" w:cs="Sylfaen"/>
          <w:bCs/>
          <w:sz w:val="24"/>
          <w:szCs w:val="24"/>
        </w:rPr>
        <w:t>წლის</w:t>
      </w:r>
      <w:r w:rsidR="009C3E80" w:rsidRPr="000C625B">
        <w:rPr>
          <w:rFonts w:ascii="Sylfaen" w:hAnsi="Sylfaen" w:cs="Sylfaen"/>
          <w:bCs/>
          <w:sz w:val="24"/>
          <w:szCs w:val="24"/>
        </w:rPr>
        <w:t xml:space="preserve"> </w:t>
      </w:r>
      <w:r w:rsidR="00393942" w:rsidRPr="000C625B">
        <w:rPr>
          <w:rFonts w:ascii="Sylfaen" w:hAnsi="Sylfaen" w:cs="Sylfaen"/>
          <w:bCs/>
          <w:sz w:val="24"/>
          <w:szCs w:val="24"/>
        </w:rPr>
        <w:t xml:space="preserve">18 აპრილს და 27 ივნისს. </w:t>
      </w:r>
    </w:p>
    <w:p w14:paraId="4E838627" w14:textId="77777777" w:rsidR="00167BFF" w:rsidRPr="000C625B" w:rsidRDefault="00AD224B" w:rsidP="008F5B8D">
      <w:pPr>
        <w:numPr>
          <w:ilvl w:val="0"/>
          <w:numId w:val="1"/>
        </w:numPr>
        <w:spacing w:after="0"/>
        <w:ind w:left="0" w:firstLine="284"/>
        <w:contextualSpacing/>
        <w:jc w:val="both"/>
        <w:rPr>
          <w:rFonts w:ascii="Sylfaen" w:hAnsi="Sylfaen" w:cs="Calibri"/>
          <w:sz w:val="24"/>
          <w:szCs w:val="24"/>
        </w:rPr>
      </w:pPr>
      <w:r w:rsidRPr="000C625B">
        <w:rPr>
          <w:rFonts w:ascii="Sylfaen" w:hAnsi="Sylfaen" w:cs="AcadNusx"/>
          <w:bCs/>
          <w:sz w:val="24"/>
          <w:szCs w:val="24"/>
        </w:rPr>
        <w:t>№1474</w:t>
      </w:r>
      <w:r w:rsidR="00472869" w:rsidRPr="000C625B">
        <w:rPr>
          <w:rFonts w:ascii="Sylfaen" w:hAnsi="Sylfaen" w:cs="AcadNusx"/>
          <w:bCs/>
          <w:sz w:val="24"/>
          <w:szCs w:val="24"/>
        </w:rPr>
        <w:t xml:space="preserve"> </w:t>
      </w:r>
      <w:r w:rsidR="001460C7" w:rsidRPr="000C625B">
        <w:rPr>
          <w:rFonts w:ascii="Sylfaen" w:hAnsi="Sylfaen" w:cs="Sylfaen"/>
          <w:bCs/>
          <w:sz w:val="24"/>
          <w:szCs w:val="24"/>
        </w:rPr>
        <w:t>კონსტიტუციურ</w:t>
      </w:r>
      <w:r w:rsidR="00472869" w:rsidRPr="000C625B">
        <w:rPr>
          <w:rFonts w:ascii="Sylfaen" w:hAnsi="Sylfaen" w:cs="Sylfaen"/>
          <w:bCs/>
          <w:sz w:val="24"/>
          <w:szCs w:val="24"/>
        </w:rPr>
        <w:t xml:space="preserve"> </w:t>
      </w:r>
      <w:r w:rsidR="001460C7" w:rsidRPr="000C625B">
        <w:rPr>
          <w:rFonts w:ascii="Sylfaen" w:hAnsi="Sylfaen" w:cs="Sylfaen"/>
          <w:bCs/>
          <w:sz w:val="24"/>
          <w:szCs w:val="24"/>
        </w:rPr>
        <w:t>სარჩელში</w:t>
      </w:r>
      <w:r w:rsidR="00472869" w:rsidRPr="000C625B">
        <w:rPr>
          <w:rFonts w:ascii="Sylfaen" w:hAnsi="Sylfaen" w:cs="Sylfaen"/>
          <w:bCs/>
          <w:sz w:val="24"/>
          <w:szCs w:val="24"/>
        </w:rPr>
        <w:t xml:space="preserve"> </w:t>
      </w:r>
      <w:r w:rsidR="001460C7" w:rsidRPr="000C625B">
        <w:rPr>
          <w:rFonts w:ascii="Sylfaen" w:hAnsi="Sylfaen" w:cs="Calibri"/>
          <w:sz w:val="24"/>
          <w:szCs w:val="24"/>
        </w:rPr>
        <w:t>საქართველოს საკონსტიტუციო სასამართლოსთვის მომართვის სამართლებრივ საფუძვლებად მითითებულია:</w:t>
      </w:r>
      <w:r w:rsidR="00472869" w:rsidRPr="000C625B">
        <w:rPr>
          <w:rFonts w:ascii="Sylfaen" w:hAnsi="Sylfaen" w:cs="Calibri"/>
          <w:sz w:val="24"/>
          <w:szCs w:val="24"/>
        </w:rPr>
        <w:t xml:space="preserve"> </w:t>
      </w:r>
      <w:r w:rsidR="007656DD" w:rsidRPr="000C625B">
        <w:rPr>
          <w:rFonts w:ascii="Sylfaen" w:hAnsi="Sylfaen" w:cs="Calibri"/>
          <w:sz w:val="24"/>
          <w:szCs w:val="24"/>
        </w:rPr>
        <w:t xml:space="preserve">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w:t>
      </w:r>
      <w:r w:rsidR="00C13B05" w:rsidRPr="000C625B">
        <w:rPr>
          <w:rFonts w:ascii="Sylfaen" w:hAnsi="Sylfaen" w:cs="Calibri"/>
          <w:sz w:val="24"/>
          <w:szCs w:val="24"/>
        </w:rPr>
        <w:t xml:space="preserve">მუხლი, </w:t>
      </w:r>
      <w:r w:rsidR="007656DD" w:rsidRPr="000C625B">
        <w:rPr>
          <w:rFonts w:ascii="Sylfaen" w:hAnsi="Sylfaen" w:cs="Calibri"/>
          <w:sz w:val="24"/>
          <w:szCs w:val="24"/>
        </w:rPr>
        <w:t>31</w:t>
      </w:r>
      <w:r w:rsidR="007656DD" w:rsidRPr="000C625B">
        <w:rPr>
          <w:rFonts w:ascii="Sylfaen" w:hAnsi="Sylfaen" w:cs="Calibri"/>
          <w:sz w:val="24"/>
          <w:szCs w:val="24"/>
          <w:vertAlign w:val="superscript"/>
        </w:rPr>
        <w:t>1</w:t>
      </w:r>
      <w:r w:rsidR="007656DD" w:rsidRPr="000C625B">
        <w:rPr>
          <w:rFonts w:ascii="Sylfaen" w:hAnsi="Sylfaen" w:cs="Calibri"/>
          <w:sz w:val="24"/>
          <w:szCs w:val="24"/>
        </w:rPr>
        <w:t xml:space="preserve"> </w:t>
      </w:r>
      <w:r w:rsidR="00C13B05" w:rsidRPr="000C625B">
        <w:rPr>
          <w:rFonts w:ascii="Sylfaen" w:hAnsi="Sylfaen" w:cs="Calibri"/>
          <w:sz w:val="24"/>
          <w:szCs w:val="24"/>
        </w:rPr>
        <w:t>მუხლ</w:t>
      </w:r>
      <w:r w:rsidR="007656DD" w:rsidRPr="000C625B">
        <w:rPr>
          <w:rFonts w:ascii="Sylfaen" w:hAnsi="Sylfaen" w:cs="Calibri"/>
          <w:sz w:val="24"/>
          <w:szCs w:val="24"/>
        </w:rPr>
        <w:t>ი</w:t>
      </w:r>
      <w:r w:rsidR="00C13B05" w:rsidRPr="000C625B">
        <w:rPr>
          <w:rFonts w:ascii="Sylfaen" w:hAnsi="Sylfaen" w:cs="Calibri"/>
          <w:sz w:val="24"/>
          <w:szCs w:val="24"/>
        </w:rPr>
        <w:t xml:space="preserve"> და</w:t>
      </w:r>
      <w:r w:rsidR="00FA07A5" w:rsidRPr="000C625B">
        <w:rPr>
          <w:rFonts w:ascii="Sylfaen" w:hAnsi="Sylfaen" w:cs="Calibri"/>
          <w:sz w:val="24"/>
          <w:szCs w:val="24"/>
        </w:rPr>
        <w:t xml:space="preserve"> 39-ე მუხლის პირველი პუნქტის „ა“ ქვეპუნქტი.</w:t>
      </w:r>
    </w:p>
    <w:p w14:paraId="26BE6EFF" w14:textId="3186240B" w:rsidR="00F80AFA" w:rsidRPr="000C625B" w:rsidRDefault="00842D9F" w:rsidP="008F5B8D">
      <w:pPr>
        <w:numPr>
          <w:ilvl w:val="0"/>
          <w:numId w:val="1"/>
        </w:numPr>
        <w:spacing w:after="0"/>
        <w:ind w:left="0" w:firstLine="284"/>
        <w:contextualSpacing/>
        <w:jc w:val="both"/>
        <w:rPr>
          <w:rFonts w:ascii="Sylfaen" w:hAnsi="Sylfaen" w:cs="Calibri"/>
          <w:sz w:val="24"/>
          <w:szCs w:val="24"/>
        </w:rPr>
      </w:pPr>
      <w:r w:rsidRPr="000C625B">
        <w:rPr>
          <w:rFonts w:ascii="Sylfaen" w:hAnsi="Sylfaen" w:cs="Calibri"/>
          <w:sz w:val="24"/>
          <w:szCs w:val="24"/>
        </w:rPr>
        <w:t xml:space="preserve">საქართველოს სისხლის სამართლის კოდექსის 236-ე მუხლის მე-3 </w:t>
      </w:r>
      <w:r w:rsidR="00833D8F" w:rsidRPr="000C625B">
        <w:rPr>
          <w:rFonts w:ascii="Sylfaen" w:hAnsi="Sylfaen" w:cs="Calibri"/>
          <w:sz w:val="24"/>
          <w:szCs w:val="24"/>
        </w:rPr>
        <w:t xml:space="preserve">ნაწილის თანახმად, </w:t>
      </w:r>
      <w:r w:rsidR="00167BFF" w:rsidRPr="000C625B">
        <w:rPr>
          <w:rFonts w:ascii="Sylfaen" w:hAnsi="Sylfaen" w:cs="Calibri"/>
          <w:sz w:val="24"/>
          <w:szCs w:val="24"/>
        </w:rPr>
        <w:t xml:space="preserve">საბრძოლო მასალის (გარდა ამ მუხლის პირველი ნაწილით </w:t>
      </w:r>
      <w:r w:rsidR="00167BFF" w:rsidRPr="000C625B">
        <w:rPr>
          <w:rFonts w:ascii="Sylfaen" w:hAnsi="Sylfaen" w:cs="Calibri"/>
          <w:sz w:val="24"/>
          <w:szCs w:val="24"/>
        </w:rPr>
        <w:lastRenderedPageBreak/>
        <w:t>გათვალისწინებულისა) მართლსაწინააღმდეგო შეძენა ან შენახვა</w:t>
      </w:r>
      <w:r w:rsidR="00833D8F" w:rsidRPr="000C625B">
        <w:rPr>
          <w:rFonts w:ascii="Sylfaen" w:hAnsi="Sylfaen" w:cs="Calibri"/>
          <w:sz w:val="24"/>
          <w:szCs w:val="24"/>
        </w:rPr>
        <w:t xml:space="preserve"> წარმოადგენს დანაშაულს</w:t>
      </w:r>
      <w:r w:rsidR="00FC19F3" w:rsidRPr="000C625B">
        <w:rPr>
          <w:rFonts w:ascii="Sylfaen" w:hAnsi="Sylfaen" w:cs="Calibri"/>
          <w:sz w:val="24"/>
          <w:szCs w:val="24"/>
        </w:rPr>
        <w:t xml:space="preserve"> და ისჯება თავისუფლების აღკვეთით</w:t>
      </w:r>
      <w:r w:rsidR="00710BC5">
        <w:rPr>
          <w:rFonts w:ascii="Sylfaen" w:hAnsi="Sylfaen" w:cs="Calibri"/>
          <w:sz w:val="24"/>
          <w:szCs w:val="24"/>
        </w:rPr>
        <w:t>,</w:t>
      </w:r>
      <w:r w:rsidR="00FC19F3" w:rsidRPr="000C625B">
        <w:rPr>
          <w:rFonts w:ascii="Sylfaen" w:hAnsi="Sylfaen" w:cs="Calibri"/>
          <w:sz w:val="24"/>
          <w:szCs w:val="24"/>
        </w:rPr>
        <w:t xml:space="preserve"> ვადით სამიდან ექვს წლამდე. </w:t>
      </w:r>
      <w:r w:rsidR="00FC19F3" w:rsidRPr="000C625B">
        <w:rPr>
          <w:rFonts w:ascii="Sylfaen" w:hAnsi="Sylfaen"/>
          <w:sz w:val="24"/>
          <w:szCs w:val="24"/>
        </w:rPr>
        <w:t>„იარაღის შესახებ“ საქართველოს კანონის მე-19 მუხლის მე-2 პუნქტის „ბ“ ქვეპუნქტის</w:t>
      </w:r>
      <w:r w:rsidR="00337A39" w:rsidRPr="000C625B">
        <w:rPr>
          <w:rFonts w:ascii="Sylfaen" w:hAnsi="Sylfaen"/>
          <w:sz w:val="24"/>
          <w:szCs w:val="24"/>
        </w:rPr>
        <w:t xml:space="preserve"> </w:t>
      </w:r>
      <w:r w:rsidR="00802D5C" w:rsidRPr="000C625B">
        <w:rPr>
          <w:rFonts w:ascii="Sylfaen" w:hAnsi="Sylfaen"/>
          <w:sz w:val="24"/>
          <w:szCs w:val="24"/>
        </w:rPr>
        <w:t>შესაბამისად,</w:t>
      </w:r>
      <w:r w:rsidR="00337A39" w:rsidRPr="000C625B">
        <w:rPr>
          <w:rFonts w:ascii="Sylfaen" w:hAnsi="Sylfaen" w:cs="Calibri"/>
          <w:sz w:val="24"/>
          <w:szCs w:val="24"/>
        </w:rPr>
        <w:t xml:space="preserve"> </w:t>
      </w:r>
      <w:r w:rsidR="00712E9D" w:rsidRPr="000C625B">
        <w:rPr>
          <w:rFonts w:ascii="Sylfaen" w:hAnsi="Sylfaen" w:cs="Calibri"/>
          <w:sz w:val="24"/>
          <w:szCs w:val="24"/>
        </w:rPr>
        <w:t>საბრძოლო მასალის</w:t>
      </w:r>
      <w:r w:rsidR="002932DC" w:rsidRPr="000C625B">
        <w:rPr>
          <w:rFonts w:ascii="Sylfaen" w:hAnsi="Sylfaen" w:cs="Calibri"/>
          <w:sz w:val="24"/>
          <w:szCs w:val="24"/>
        </w:rPr>
        <w:t xml:space="preserve"> </w:t>
      </w:r>
      <w:r w:rsidR="00712E9D" w:rsidRPr="000C625B">
        <w:rPr>
          <w:rFonts w:ascii="Sylfaen" w:hAnsi="Sylfaen" w:cs="Calibri"/>
          <w:sz w:val="24"/>
          <w:szCs w:val="24"/>
        </w:rPr>
        <w:t>შეძენის უფლება აქვ</w:t>
      </w:r>
      <w:r w:rsidR="007B4364">
        <w:rPr>
          <w:rFonts w:ascii="Sylfaen" w:hAnsi="Sylfaen" w:cs="Calibri"/>
          <w:sz w:val="24"/>
          <w:szCs w:val="24"/>
        </w:rPr>
        <w:t>თ</w:t>
      </w:r>
      <w:r w:rsidR="00712E9D" w:rsidRPr="000C625B">
        <w:rPr>
          <w:rFonts w:ascii="Sylfaen" w:hAnsi="Sylfaen" w:cs="Calibri"/>
          <w:sz w:val="24"/>
          <w:szCs w:val="24"/>
        </w:rPr>
        <w:t xml:space="preserve"> </w:t>
      </w:r>
      <w:r w:rsidR="00337A39" w:rsidRPr="000C625B">
        <w:rPr>
          <w:rFonts w:ascii="Sylfaen" w:hAnsi="Sylfaen" w:cs="Calibri"/>
          <w:sz w:val="24"/>
          <w:szCs w:val="24"/>
        </w:rPr>
        <w:t>კანონით განსაზღვრულ პირებს, მხოლოდ იმ შემთხვევაში, როცა ეს საბრძოლო მასალა განკუთვნილია მათ საკუთრებაში (მფლობელობაში) არსებული რეგისტრირებული ან აღრიცხული იარაღიდან გასროლისათვის</w:t>
      </w:r>
      <w:r w:rsidR="00712E9D" w:rsidRPr="000C625B">
        <w:rPr>
          <w:rFonts w:ascii="Sylfaen" w:hAnsi="Sylfaen" w:cs="Calibri"/>
          <w:sz w:val="24"/>
          <w:szCs w:val="24"/>
        </w:rPr>
        <w:t>.</w:t>
      </w:r>
    </w:p>
    <w:p w14:paraId="72B4E488" w14:textId="77777777" w:rsidR="00F80AFA" w:rsidRPr="000C625B" w:rsidRDefault="00F80AFA" w:rsidP="008F5B8D">
      <w:pPr>
        <w:numPr>
          <w:ilvl w:val="0"/>
          <w:numId w:val="1"/>
        </w:numPr>
        <w:spacing w:after="0"/>
        <w:ind w:left="0" w:firstLine="284"/>
        <w:contextualSpacing/>
        <w:jc w:val="both"/>
        <w:rPr>
          <w:rFonts w:ascii="Sylfaen" w:hAnsi="Sylfaen" w:cs="Calibri"/>
          <w:sz w:val="24"/>
          <w:szCs w:val="24"/>
        </w:rPr>
      </w:pPr>
      <w:r w:rsidRPr="000C625B">
        <w:rPr>
          <w:rFonts w:ascii="Sylfaen" w:hAnsi="Sylfaen" w:cs="Calibri"/>
          <w:sz w:val="24"/>
          <w:szCs w:val="24"/>
        </w:rPr>
        <w:t>საქართველოს კონსტიტუციის 31-ე მუხლის მე-9 პუნქტის პირველი წინადადების მიხედვით, არავინ აგებს პასუხს ქმედებისათვის, რომელიც მისი ჩადენის დროს სამართალდარღვევად არ ითვლებოდა.</w:t>
      </w:r>
    </w:p>
    <w:p w14:paraId="20B02294" w14:textId="77777777" w:rsidR="002073D6" w:rsidRPr="000C625B" w:rsidRDefault="00F80AFA" w:rsidP="002073D6">
      <w:pPr>
        <w:numPr>
          <w:ilvl w:val="0"/>
          <w:numId w:val="1"/>
        </w:numPr>
        <w:spacing w:after="0"/>
        <w:ind w:left="0" w:firstLine="284"/>
        <w:contextualSpacing/>
        <w:jc w:val="both"/>
        <w:rPr>
          <w:rFonts w:ascii="Sylfaen" w:hAnsi="Sylfaen" w:cs="Calibri"/>
          <w:sz w:val="24"/>
          <w:szCs w:val="24"/>
        </w:rPr>
      </w:pPr>
      <w:r w:rsidRPr="000C625B">
        <w:rPr>
          <w:rFonts w:ascii="Sylfaen" w:hAnsi="Sylfaen" w:cs="Calibri"/>
          <w:sz w:val="24"/>
          <w:szCs w:val="24"/>
        </w:rPr>
        <w:t xml:space="preserve">№1474 კონსტიტუციური სარჩელის თანახმად, მოსარჩელე გიგა ჭელიძე, თბილისის საქალაქო სასამართლოს 2019 წლის 24 მაისის განაჩენით, დამნაშავედ იქნა ცნობილი საქართველოს სისხლის სამართლის კოდექსის 236-ე მუხლის მე-3 ნაწილით </w:t>
      </w:r>
      <w:r w:rsidR="00BF40E5" w:rsidRPr="000C625B">
        <w:rPr>
          <w:rFonts w:ascii="Sylfaen" w:hAnsi="Sylfaen" w:cs="Calibri"/>
          <w:sz w:val="24"/>
          <w:szCs w:val="24"/>
        </w:rPr>
        <w:t>გათვალის</w:t>
      </w:r>
      <w:r w:rsidRPr="000C625B">
        <w:rPr>
          <w:rFonts w:ascii="Sylfaen" w:hAnsi="Sylfaen" w:cs="Calibri"/>
          <w:sz w:val="24"/>
          <w:szCs w:val="24"/>
        </w:rPr>
        <w:t>წ</w:t>
      </w:r>
      <w:r w:rsidR="00BF40E5" w:rsidRPr="000C625B">
        <w:rPr>
          <w:rFonts w:ascii="Sylfaen" w:hAnsi="Sylfaen" w:cs="Calibri"/>
          <w:sz w:val="24"/>
          <w:szCs w:val="24"/>
        </w:rPr>
        <w:t>ი</w:t>
      </w:r>
      <w:r w:rsidRPr="000C625B">
        <w:rPr>
          <w:rFonts w:ascii="Sylfaen" w:hAnsi="Sylfaen" w:cs="Calibri"/>
          <w:sz w:val="24"/>
          <w:szCs w:val="24"/>
        </w:rPr>
        <w:t xml:space="preserve">ნებული დანაშაულის </w:t>
      </w:r>
      <w:r w:rsidR="008418FD" w:rsidRPr="000C625B">
        <w:rPr>
          <w:rFonts w:ascii="Sylfaen" w:hAnsi="Sylfaen" w:cs="Calibri"/>
          <w:sz w:val="24"/>
          <w:szCs w:val="24"/>
        </w:rPr>
        <w:t>ჩადენისათვის</w:t>
      </w:r>
      <w:r w:rsidR="00BF40E5" w:rsidRPr="000C625B">
        <w:rPr>
          <w:rFonts w:ascii="Sylfaen" w:hAnsi="Sylfaen" w:cs="Calibri"/>
          <w:sz w:val="24"/>
          <w:szCs w:val="24"/>
        </w:rPr>
        <w:t xml:space="preserve">, </w:t>
      </w:r>
      <w:r w:rsidR="008418FD" w:rsidRPr="000C625B">
        <w:rPr>
          <w:rFonts w:ascii="Sylfaen" w:hAnsi="Sylfaen" w:cs="Calibri"/>
          <w:sz w:val="24"/>
          <w:szCs w:val="24"/>
        </w:rPr>
        <w:t xml:space="preserve">რაც გამოიხატა </w:t>
      </w:r>
      <w:r w:rsidRPr="000C625B">
        <w:rPr>
          <w:rFonts w:ascii="Sylfaen" w:hAnsi="Sylfaen" w:cs="Calibri"/>
          <w:sz w:val="24"/>
          <w:szCs w:val="24"/>
        </w:rPr>
        <w:t>საბრძოლო მასალის მართლსაწინააღ</w:t>
      </w:r>
      <w:r w:rsidR="00BF40E5" w:rsidRPr="000C625B">
        <w:rPr>
          <w:rFonts w:ascii="Sylfaen" w:hAnsi="Sylfaen" w:cs="Calibri"/>
          <w:sz w:val="24"/>
          <w:szCs w:val="24"/>
        </w:rPr>
        <w:t>მ</w:t>
      </w:r>
      <w:r w:rsidRPr="000C625B">
        <w:rPr>
          <w:rFonts w:ascii="Sylfaen" w:hAnsi="Sylfaen" w:cs="Calibri"/>
          <w:sz w:val="24"/>
          <w:szCs w:val="24"/>
        </w:rPr>
        <w:t>დეგო შეძენა-შენახვაში</w:t>
      </w:r>
      <w:r w:rsidR="002073D6" w:rsidRPr="000C625B">
        <w:rPr>
          <w:rFonts w:ascii="Sylfaen" w:hAnsi="Sylfaen" w:cs="Calibri"/>
          <w:sz w:val="24"/>
          <w:szCs w:val="24"/>
        </w:rPr>
        <w:t xml:space="preserve">. კერძოდ, </w:t>
      </w:r>
      <w:r w:rsidR="003D7B72" w:rsidRPr="000C625B">
        <w:rPr>
          <w:rFonts w:ascii="Sylfaen" w:hAnsi="Sylfaen" w:cs="Calibri"/>
          <w:sz w:val="24"/>
          <w:szCs w:val="24"/>
        </w:rPr>
        <w:t>მოსარჩელის საცხოვრებელი ბინიდან</w:t>
      </w:r>
      <w:r w:rsidR="00E82287" w:rsidRPr="000C625B">
        <w:rPr>
          <w:rFonts w:ascii="Sylfaen" w:hAnsi="Sylfaen" w:cs="Calibri"/>
          <w:sz w:val="24"/>
          <w:szCs w:val="24"/>
        </w:rPr>
        <w:t xml:space="preserve">, </w:t>
      </w:r>
      <w:r w:rsidR="00D543AF" w:rsidRPr="000C625B">
        <w:rPr>
          <w:rFonts w:ascii="Sylfaen" w:hAnsi="Sylfaen" w:cs="Calibri"/>
          <w:sz w:val="24"/>
          <w:szCs w:val="24"/>
        </w:rPr>
        <w:t xml:space="preserve">მის საკუთრებაში კანონიერად </w:t>
      </w:r>
      <w:r w:rsidR="00E82287" w:rsidRPr="000C625B">
        <w:rPr>
          <w:rFonts w:ascii="Sylfaen" w:hAnsi="Sylfaen" w:cs="Calibri"/>
          <w:sz w:val="24"/>
          <w:szCs w:val="24"/>
        </w:rPr>
        <w:t>რეგისტრირებულ</w:t>
      </w:r>
      <w:r w:rsidR="00052FF1" w:rsidRPr="000C625B">
        <w:rPr>
          <w:rFonts w:ascii="Sylfaen" w:hAnsi="Sylfaen" w:cs="Calibri"/>
          <w:sz w:val="24"/>
          <w:szCs w:val="24"/>
        </w:rPr>
        <w:t xml:space="preserve"> </w:t>
      </w:r>
      <w:r w:rsidR="00D543AF" w:rsidRPr="000C625B">
        <w:rPr>
          <w:rFonts w:ascii="Sylfaen" w:hAnsi="Sylfaen" w:cs="Calibri"/>
          <w:sz w:val="24"/>
          <w:szCs w:val="24"/>
        </w:rPr>
        <w:t xml:space="preserve">სანადირო </w:t>
      </w:r>
      <w:proofErr w:type="spellStart"/>
      <w:r w:rsidR="00E82287" w:rsidRPr="000C625B">
        <w:rPr>
          <w:rFonts w:ascii="Sylfaen" w:hAnsi="Sylfaen" w:cs="Calibri"/>
          <w:sz w:val="24"/>
          <w:szCs w:val="24"/>
        </w:rPr>
        <w:t>კარაბინთან</w:t>
      </w:r>
      <w:proofErr w:type="spellEnd"/>
      <w:r w:rsidR="00E82287" w:rsidRPr="000C625B">
        <w:rPr>
          <w:rFonts w:ascii="Sylfaen" w:hAnsi="Sylfaen" w:cs="Calibri"/>
          <w:sz w:val="24"/>
          <w:szCs w:val="24"/>
        </w:rPr>
        <w:t xml:space="preserve"> ერთად, </w:t>
      </w:r>
      <w:r w:rsidR="00052FF1" w:rsidRPr="000C625B">
        <w:rPr>
          <w:rFonts w:ascii="Sylfaen" w:hAnsi="Sylfaen" w:cs="Calibri"/>
          <w:sz w:val="24"/>
          <w:szCs w:val="24"/>
        </w:rPr>
        <w:t xml:space="preserve">რომელიც ისროდა 7,62 </w:t>
      </w:r>
      <w:proofErr w:type="spellStart"/>
      <w:r w:rsidR="00052FF1" w:rsidRPr="000C625B">
        <w:rPr>
          <w:rFonts w:ascii="Sylfaen" w:hAnsi="Sylfaen" w:cs="Calibri"/>
          <w:sz w:val="24"/>
          <w:szCs w:val="24"/>
        </w:rPr>
        <w:t>მმ</w:t>
      </w:r>
      <w:proofErr w:type="spellEnd"/>
      <w:r w:rsidR="00052FF1" w:rsidRPr="000C625B">
        <w:rPr>
          <w:rFonts w:ascii="Sylfaen" w:hAnsi="Sylfaen" w:cs="Calibri"/>
          <w:sz w:val="24"/>
          <w:szCs w:val="24"/>
        </w:rPr>
        <w:t xml:space="preserve"> კალიბრის ვაზნებს, </w:t>
      </w:r>
      <w:r w:rsidR="00E82287" w:rsidRPr="000C625B">
        <w:rPr>
          <w:rFonts w:ascii="Sylfaen" w:hAnsi="Sylfaen" w:cs="Calibri"/>
          <w:sz w:val="24"/>
          <w:szCs w:val="24"/>
        </w:rPr>
        <w:t>ამოღებულ იქნა</w:t>
      </w:r>
      <w:r w:rsidR="00932A9E" w:rsidRPr="000C625B">
        <w:rPr>
          <w:rFonts w:ascii="Sylfaen" w:hAnsi="Sylfaen" w:cs="Calibri"/>
          <w:sz w:val="24"/>
          <w:szCs w:val="24"/>
        </w:rPr>
        <w:t xml:space="preserve"> </w:t>
      </w:r>
      <w:r w:rsidR="003D7B72" w:rsidRPr="000C625B">
        <w:rPr>
          <w:rFonts w:ascii="Sylfaen" w:hAnsi="Sylfaen" w:cs="Calibri"/>
          <w:sz w:val="24"/>
          <w:szCs w:val="24"/>
        </w:rPr>
        <w:t xml:space="preserve">23 ცალი ქარხნული წესით დამზადებული, 1943 წლის ნიმუშის 7,62 </w:t>
      </w:r>
      <w:proofErr w:type="spellStart"/>
      <w:r w:rsidR="003D7B72" w:rsidRPr="000C625B">
        <w:rPr>
          <w:rFonts w:ascii="Sylfaen" w:hAnsi="Sylfaen" w:cs="Calibri"/>
          <w:sz w:val="24"/>
          <w:szCs w:val="24"/>
        </w:rPr>
        <w:t>მმ</w:t>
      </w:r>
      <w:proofErr w:type="spellEnd"/>
      <w:r w:rsidR="003D7B72" w:rsidRPr="000C625B">
        <w:rPr>
          <w:rFonts w:ascii="Sylfaen" w:hAnsi="Sylfaen" w:cs="Calibri"/>
          <w:sz w:val="24"/>
          <w:szCs w:val="24"/>
        </w:rPr>
        <w:t xml:space="preserve"> კალიბრის სამხედრო დანიშნულების ვაზნა</w:t>
      </w:r>
      <w:r w:rsidR="00283C85" w:rsidRPr="000C625B">
        <w:rPr>
          <w:rFonts w:ascii="Sylfaen" w:hAnsi="Sylfaen" w:cs="Calibri"/>
          <w:sz w:val="24"/>
          <w:szCs w:val="24"/>
        </w:rPr>
        <w:t>, რომლის შეძენისა და შენახვის უფლება, სასამართლოს პოზიციით</w:t>
      </w:r>
      <w:r w:rsidR="00B86933" w:rsidRPr="000C625B">
        <w:rPr>
          <w:rFonts w:ascii="Sylfaen" w:hAnsi="Sylfaen" w:cs="Calibri"/>
          <w:sz w:val="24"/>
          <w:szCs w:val="24"/>
        </w:rPr>
        <w:t>,</w:t>
      </w:r>
      <w:r w:rsidR="00283C85" w:rsidRPr="000C625B">
        <w:rPr>
          <w:rFonts w:ascii="Sylfaen" w:hAnsi="Sylfaen" w:cs="Calibri"/>
          <w:sz w:val="24"/>
          <w:szCs w:val="24"/>
        </w:rPr>
        <w:t xml:space="preserve"> მოსარჩელეს არ </w:t>
      </w:r>
      <w:r w:rsidR="00B86933" w:rsidRPr="000C625B">
        <w:rPr>
          <w:rFonts w:ascii="Sylfaen" w:hAnsi="Sylfaen" w:cs="Calibri"/>
          <w:sz w:val="24"/>
          <w:szCs w:val="24"/>
        </w:rPr>
        <w:t>გააჩნდა</w:t>
      </w:r>
      <w:r w:rsidR="00283C85" w:rsidRPr="000C625B">
        <w:rPr>
          <w:rFonts w:ascii="Sylfaen" w:hAnsi="Sylfaen" w:cs="Calibri"/>
          <w:sz w:val="24"/>
          <w:szCs w:val="24"/>
        </w:rPr>
        <w:t>.</w:t>
      </w:r>
      <w:r w:rsidR="002073D6" w:rsidRPr="000C625B">
        <w:rPr>
          <w:rFonts w:ascii="Sylfaen" w:hAnsi="Sylfaen" w:cs="Calibri"/>
          <w:sz w:val="24"/>
          <w:szCs w:val="24"/>
        </w:rPr>
        <w:t xml:space="preserve"> შედეგად, მოსარჩელეს </w:t>
      </w:r>
      <w:r w:rsidR="00B86933" w:rsidRPr="000C625B">
        <w:rPr>
          <w:rFonts w:ascii="Sylfaen" w:hAnsi="Sylfaen" w:cs="Calibri"/>
          <w:sz w:val="24"/>
          <w:szCs w:val="24"/>
        </w:rPr>
        <w:t>მიესაჯა</w:t>
      </w:r>
      <w:r w:rsidR="002073D6" w:rsidRPr="000C625B">
        <w:rPr>
          <w:rFonts w:ascii="Sylfaen" w:hAnsi="Sylfaen" w:cs="Calibri"/>
          <w:sz w:val="24"/>
          <w:szCs w:val="24"/>
        </w:rPr>
        <w:t xml:space="preserve"> თავისუფლების აღკვეთა სამი წლისა და ექვსი თვის ვადით.</w:t>
      </w:r>
    </w:p>
    <w:p w14:paraId="202B5445" w14:textId="77777777" w:rsidR="009161F2" w:rsidRPr="000C625B" w:rsidRDefault="00B86933" w:rsidP="009E7717">
      <w:pPr>
        <w:numPr>
          <w:ilvl w:val="0"/>
          <w:numId w:val="1"/>
        </w:numPr>
        <w:spacing w:after="0"/>
        <w:ind w:left="0" w:firstLine="284"/>
        <w:contextualSpacing/>
        <w:jc w:val="both"/>
        <w:rPr>
          <w:rFonts w:ascii="Sylfaen" w:hAnsi="Sylfaen" w:cs="Calibri"/>
          <w:sz w:val="24"/>
          <w:szCs w:val="24"/>
        </w:rPr>
      </w:pPr>
      <w:r w:rsidRPr="000C625B">
        <w:rPr>
          <w:rFonts w:ascii="Sylfaen" w:hAnsi="Sylfaen" w:cs="Calibri"/>
          <w:sz w:val="24"/>
          <w:szCs w:val="24"/>
        </w:rPr>
        <w:t>მოსარჩელე მხარის</w:t>
      </w:r>
      <w:r w:rsidR="00716580" w:rsidRPr="000C625B">
        <w:rPr>
          <w:rFonts w:ascii="Sylfaen" w:hAnsi="Sylfaen" w:cs="Calibri"/>
          <w:sz w:val="24"/>
          <w:szCs w:val="24"/>
        </w:rPr>
        <w:t xml:space="preserve"> </w:t>
      </w:r>
      <w:r w:rsidRPr="000C625B">
        <w:rPr>
          <w:rFonts w:ascii="Sylfaen" w:hAnsi="Sylfaen" w:cs="Calibri"/>
          <w:sz w:val="24"/>
          <w:szCs w:val="24"/>
        </w:rPr>
        <w:t>მტკიცებით</w:t>
      </w:r>
      <w:r w:rsidR="00716580" w:rsidRPr="000C625B">
        <w:rPr>
          <w:rFonts w:ascii="Sylfaen" w:hAnsi="Sylfaen" w:cs="Calibri"/>
          <w:sz w:val="24"/>
          <w:szCs w:val="24"/>
        </w:rPr>
        <w:t xml:space="preserve">, </w:t>
      </w:r>
      <w:r w:rsidR="00F75B70" w:rsidRPr="000C625B">
        <w:rPr>
          <w:rFonts w:ascii="Sylfaen" w:hAnsi="Sylfaen" w:cs="Calibri"/>
          <w:sz w:val="24"/>
          <w:szCs w:val="24"/>
        </w:rPr>
        <w:t xml:space="preserve">თბილისის საქალაქო </w:t>
      </w:r>
      <w:r w:rsidR="00716580" w:rsidRPr="000C625B">
        <w:rPr>
          <w:rFonts w:ascii="Sylfaen" w:hAnsi="Sylfaen" w:cs="Calibri"/>
          <w:sz w:val="24"/>
          <w:szCs w:val="24"/>
        </w:rPr>
        <w:t xml:space="preserve">სასამართლომ გამამტყუნებელი განაჩენი დააყრდნო </w:t>
      </w:r>
      <w:r w:rsidR="00D24684" w:rsidRPr="000C625B">
        <w:rPr>
          <w:rFonts w:ascii="Sylfaen" w:hAnsi="Sylfaen"/>
          <w:sz w:val="24"/>
          <w:szCs w:val="24"/>
        </w:rPr>
        <w:t xml:space="preserve">„იარაღის შესახებ“ საქართველოს კანონის მე-19 მუხლის მე-2 პუნქტის „ბ“ ქვეპუნქტის </w:t>
      </w:r>
      <w:r w:rsidR="00716580" w:rsidRPr="000C625B">
        <w:rPr>
          <w:rFonts w:ascii="Sylfaen" w:hAnsi="Sylfaen" w:cs="Calibri"/>
          <w:sz w:val="24"/>
          <w:szCs w:val="24"/>
        </w:rPr>
        <w:t>არასწორ განმარტებას</w:t>
      </w:r>
      <w:r w:rsidR="00893D5B" w:rsidRPr="000C625B">
        <w:rPr>
          <w:rFonts w:ascii="Sylfaen" w:hAnsi="Sylfaen" w:cs="Calibri"/>
          <w:sz w:val="24"/>
          <w:szCs w:val="24"/>
        </w:rPr>
        <w:t>, რაც გამოიწვია თავად ამ ნორმის დისპოზიციის ბუნდოვანებამ.</w:t>
      </w:r>
      <w:r w:rsidR="00132B48" w:rsidRPr="000C625B">
        <w:rPr>
          <w:rFonts w:ascii="Sylfaen" w:hAnsi="Sylfaen" w:cs="Calibri"/>
          <w:sz w:val="24"/>
          <w:szCs w:val="24"/>
        </w:rPr>
        <w:t xml:space="preserve"> </w:t>
      </w:r>
      <w:r w:rsidR="00D24684" w:rsidRPr="000C625B">
        <w:rPr>
          <w:rFonts w:ascii="Sylfaen" w:hAnsi="Sylfaen" w:cs="Calibri"/>
          <w:sz w:val="24"/>
          <w:szCs w:val="24"/>
        </w:rPr>
        <w:t xml:space="preserve">კერძოდ, </w:t>
      </w:r>
      <w:r w:rsidR="00DD200F" w:rsidRPr="000C625B">
        <w:rPr>
          <w:rFonts w:ascii="Sylfaen" w:hAnsi="Sylfaen" w:cs="Calibri"/>
          <w:sz w:val="24"/>
          <w:szCs w:val="24"/>
        </w:rPr>
        <w:t>სასამართლომ მიიჩნია, რომ აღმოჩენილი</w:t>
      </w:r>
      <w:r w:rsidR="00E91D26" w:rsidRPr="000C625B">
        <w:rPr>
          <w:rFonts w:ascii="Sylfaen" w:hAnsi="Sylfaen" w:cs="Calibri"/>
          <w:sz w:val="24"/>
          <w:szCs w:val="24"/>
        </w:rPr>
        <w:t xml:space="preserve"> </w:t>
      </w:r>
      <w:r w:rsidR="00AC031A" w:rsidRPr="000C625B">
        <w:rPr>
          <w:rFonts w:ascii="Sylfaen" w:hAnsi="Sylfaen" w:cs="Calibri"/>
          <w:sz w:val="24"/>
          <w:szCs w:val="24"/>
        </w:rPr>
        <w:t xml:space="preserve">სამხედრო დანიშნულების </w:t>
      </w:r>
      <w:r w:rsidR="00E91D26" w:rsidRPr="000C625B">
        <w:rPr>
          <w:rFonts w:ascii="Sylfaen" w:hAnsi="Sylfaen" w:cs="Calibri"/>
          <w:sz w:val="24"/>
          <w:szCs w:val="24"/>
        </w:rPr>
        <w:t xml:space="preserve">ვაზნები არ იყო დამზადებული და განკუთვნილი მოსარჩელის </w:t>
      </w:r>
      <w:r w:rsidR="00987C97" w:rsidRPr="000C625B">
        <w:rPr>
          <w:rFonts w:ascii="Sylfaen" w:hAnsi="Sylfaen" w:cs="Calibri"/>
          <w:sz w:val="24"/>
          <w:szCs w:val="24"/>
        </w:rPr>
        <w:t xml:space="preserve">საკუთრებაში არსებული </w:t>
      </w:r>
      <w:r w:rsidR="00DF6228" w:rsidRPr="000C625B">
        <w:rPr>
          <w:rFonts w:ascii="Sylfaen" w:hAnsi="Sylfaen" w:cs="Calibri"/>
          <w:sz w:val="24"/>
          <w:szCs w:val="24"/>
        </w:rPr>
        <w:t xml:space="preserve">სანადირო </w:t>
      </w:r>
      <w:r w:rsidR="00987C97" w:rsidRPr="000C625B">
        <w:rPr>
          <w:rFonts w:ascii="Sylfaen" w:hAnsi="Sylfaen" w:cs="Calibri"/>
          <w:sz w:val="24"/>
          <w:szCs w:val="24"/>
        </w:rPr>
        <w:t>იარაღი</w:t>
      </w:r>
      <w:r w:rsidR="004E6354" w:rsidRPr="000C625B">
        <w:rPr>
          <w:rFonts w:ascii="Sylfaen" w:hAnsi="Sylfaen" w:cs="Calibri"/>
          <w:sz w:val="24"/>
          <w:szCs w:val="24"/>
        </w:rPr>
        <w:t>დან გასროლი</w:t>
      </w:r>
      <w:r w:rsidR="00987C97" w:rsidRPr="000C625B">
        <w:rPr>
          <w:rFonts w:ascii="Sylfaen" w:hAnsi="Sylfaen" w:cs="Calibri"/>
          <w:sz w:val="24"/>
          <w:szCs w:val="24"/>
        </w:rPr>
        <w:t>სათვის</w:t>
      </w:r>
      <w:r w:rsidR="004E6354" w:rsidRPr="000C625B">
        <w:rPr>
          <w:rFonts w:ascii="Sylfaen" w:hAnsi="Sylfaen" w:cs="Calibri"/>
          <w:sz w:val="24"/>
          <w:szCs w:val="24"/>
        </w:rPr>
        <w:t>, მიუხედავად იმისა</w:t>
      </w:r>
      <w:r w:rsidR="00B5008D" w:rsidRPr="000C625B">
        <w:rPr>
          <w:rFonts w:ascii="Sylfaen" w:hAnsi="Sylfaen" w:cs="Calibri"/>
          <w:sz w:val="24"/>
          <w:szCs w:val="24"/>
        </w:rPr>
        <w:t xml:space="preserve">, </w:t>
      </w:r>
      <w:r w:rsidR="004E6354" w:rsidRPr="000C625B">
        <w:rPr>
          <w:rFonts w:ascii="Sylfaen" w:hAnsi="Sylfaen" w:cs="Calibri"/>
          <w:sz w:val="24"/>
          <w:szCs w:val="24"/>
        </w:rPr>
        <w:t xml:space="preserve">რომ </w:t>
      </w:r>
      <w:r w:rsidR="00DF6228" w:rsidRPr="000C625B">
        <w:rPr>
          <w:rFonts w:ascii="Sylfaen" w:hAnsi="Sylfaen" w:cs="Calibri"/>
          <w:sz w:val="24"/>
          <w:szCs w:val="24"/>
        </w:rPr>
        <w:t xml:space="preserve">ამ იარაღიდან, </w:t>
      </w:r>
      <w:r w:rsidR="00B5008D" w:rsidRPr="000C625B">
        <w:rPr>
          <w:rFonts w:ascii="Sylfaen" w:hAnsi="Sylfaen" w:cs="Calibri"/>
          <w:sz w:val="24"/>
          <w:szCs w:val="24"/>
        </w:rPr>
        <w:t xml:space="preserve">კალიბრის </w:t>
      </w:r>
      <w:r w:rsidR="00052FF1" w:rsidRPr="000C625B">
        <w:rPr>
          <w:rFonts w:ascii="Sylfaen" w:hAnsi="Sylfaen" w:cs="Calibri"/>
          <w:sz w:val="24"/>
          <w:szCs w:val="24"/>
        </w:rPr>
        <w:t>მსგავსების</w:t>
      </w:r>
      <w:r w:rsidR="00B5008D" w:rsidRPr="000C625B">
        <w:rPr>
          <w:rFonts w:ascii="Sylfaen" w:hAnsi="Sylfaen" w:cs="Calibri"/>
          <w:sz w:val="24"/>
          <w:szCs w:val="24"/>
        </w:rPr>
        <w:t xml:space="preserve"> გამო</w:t>
      </w:r>
      <w:r w:rsidR="00DF6228" w:rsidRPr="000C625B">
        <w:rPr>
          <w:rFonts w:ascii="Sylfaen" w:hAnsi="Sylfaen" w:cs="Calibri"/>
          <w:sz w:val="24"/>
          <w:szCs w:val="24"/>
        </w:rPr>
        <w:t>, შესაძლებელი იყო</w:t>
      </w:r>
      <w:r w:rsidR="00B5008D" w:rsidRPr="000C625B">
        <w:rPr>
          <w:rFonts w:ascii="Sylfaen" w:hAnsi="Sylfaen" w:cs="Calibri"/>
          <w:sz w:val="24"/>
          <w:szCs w:val="24"/>
        </w:rPr>
        <w:t xml:space="preserve"> </w:t>
      </w:r>
      <w:r w:rsidR="000C5277" w:rsidRPr="000C625B">
        <w:rPr>
          <w:rFonts w:ascii="Sylfaen" w:hAnsi="Sylfaen" w:cs="Calibri"/>
          <w:sz w:val="24"/>
          <w:szCs w:val="24"/>
        </w:rPr>
        <w:t>მათი</w:t>
      </w:r>
      <w:r w:rsidR="00504CC6" w:rsidRPr="000C625B">
        <w:rPr>
          <w:rFonts w:ascii="Sylfaen" w:hAnsi="Sylfaen" w:cs="Calibri"/>
          <w:sz w:val="24"/>
          <w:szCs w:val="24"/>
        </w:rPr>
        <w:t xml:space="preserve"> გასროლა</w:t>
      </w:r>
      <w:r w:rsidR="000C5277" w:rsidRPr="000C625B">
        <w:rPr>
          <w:rFonts w:ascii="Sylfaen" w:hAnsi="Sylfaen" w:cs="Calibri"/>
          <w:sz w:val="24"/>
          <w:szCs w:val="24"/>
        </w:rPr>
        <w:t>.</w:t>
      </w:r>
    </w:p>
    <w:p w14:paraId="394CA000" w14:textId="77777777" w:rsidR="00A860D3" w:rsidRPr="000C625B" w:rsidRDefault="00F06CFE" w:rsidP="008F5B8D">
      <w:pPr>
        <w:numPr>
          <w:ilvl w:val="0"/>
          <w:numId w:val="1"/>
        </w:numPr>
        <w:spacing w:after="0"/>
        <w:ind w:left="0" w:firstLine="284"/>
        <w:contextualSpacing/>
        <w:jc w:val="both"/>
        <w:rPr>
          <w:rFonts w:ascii="Sylfaen" w:hAnsi="Sylfaen" w:cs="Calibri"/>
          <w:sz w:val="24"/>
          <w:szCs w:val="24"/>
        </w:rPr>
      </w:pPr>
      <w:r w:rsidRPr="000C625B">
        <w:rPr>
          <w:rFonts w:ascii="Sylfaen" w:hAnsi="Sylfaen"/>
          <w:sz w:val="24"/>
          <w:szCs w:val="24"/>
        </w:rPr>
        <w:t>მოსარჩელის განმარტებით, სადავო ნორმების ბუნდოვანებას იწვევს „იარაღის შესახებ“ საქართველოს კანონის მე-19 მუხლის მე-2 პუნქტის „ბ“ ქვეპუნქტში გამოყენებული ტერმინი „</w:t>
      </w:r>
      <w:r w:rsidR="006A083D" w:rsidRPr="000C625B">
        <w:rPr>
          <w:rFonts w:ascii="Sylfaen" w:hAnsi="Sylfaen"/>
          <w:sz w:val="24"/>
          <w:szCs w:val="24"/>
        </w:rPr>
        <w:t>განკუთვნილია“. კერძოდ, სასამართლო აღნიშნული ტერმინის არსებობის პირობებში, საბრძოლო მასალის</w:t>
      </w:r>
      <w:r w:rsidR="00AC4BB7" w:rsidRPr="000C625B">
        <w:rPr>
          <w:rFonts w:ascii="Sylfaen" w:hAnsi="Sylfaen"/>
          <w:sz w:val="24"/>
          <w:szCs w:val="24"/>
        </w:rPr>
        <w:t xml:space="preserve"> </w:t>
      </w:r>
      <w:r w:rsidR="000B7AAE" w:rsidRPr="000C625B">
        <w:rPr>
          <w:rFonts w:ascii="Sylfaen" w:hAnsi="Sylfaen"/>
          <w:sz w:val="24"/>
          <w:szCs w:val="24"/>
        </w:rPr>
        <w:t>შეძენის</w:t>
      </w:r>
      <w:r w:rsidR="00AC4BB7" w:rsidRPr="000C625B">
        <w:rPr>
          <w:rFonts w:ascii="Sylfaen" w:hAnsi="Sylfaen"/>
          <w:sz w:val="24"/>
          <w:szCs w:val="24"/>
        </w:rPr>
        <w:t xml:space="preserve"> მხოლოდ ისეთ შემთხვევებს</w:t>
      </w:r>
      <w:r w:rsidR="000B7AAE" w:rsidRPr="000C625B">
        <w:rPr>
          <w:rFonts w:ascii="Sylfaen" w:hAnsi="Sylfaen"/>
          <w:sz w:val="24"/>
          <w:szCs w:val="24"/>
        </w:rPr>
        <w:t xml:space="preserve"> მიიჩნევს კანონიერად</w:t>
      </w:r>
      <w:r w:rsidR="00AC4BB7" w:rsidRPr="000C625B">
        <w:rPr>
          <w:rFonts w:ascii="Sylfaen" w:hAnsi="Sylfaen"/>
          <w:sz w:val="24"/>
          <w:szCs w:val="24"/>
        </w:rPr>
        <w:t>, როდესაც</w:t>
      </w:r>
      <w:r w:rsidR="000B0154" w:rsidRPr="000C625B">
        <w:rPr>
          <w:rFonts w:ascii="Sylfaen" w:hAnsi="Sylfaen" w:cs="Calibri"/>
          <w:sz w:val="24"/>
          <w:szCs w:val="24"/>
        </w:rPr>
        <w:t xml:space="preserve"> </w:t>
      </w:r>
      <w:r w:rsidR="00016DC6" w:rsidRPr="000C625B">
        <w:rPr>
          <w:rFonts w:ascii="Sylfaen" w:hAnsi="Sylfaen" w:cs="Calibri"/>
          <w:sz w:val="24"/>
          <w:szCs w:val="24"/>
        </w:rPr>
        <w:t xml:space="preserve">პირი იძენს </w:t>
      </w:r>
      <w:r w:rsidR="00AC4BB7" w:rsidRPr="000C625B">
        <w:rPr>
          <w:rFonts w:ascii="Sylfaen" w:hAnsi="Sylfaen"/>
          <w:sz w:val="24"/>
          <w:szCs w:val="24"/>
        </w:rPr>
        <w:t>საბრძოლო მასალა</w:t>
      </w:r>
      <w:r w:rsidR="00016DC6" w:rsidRPr="000C625B">
        <w:rPr>
          <w:rFonts w:ascii="Sylfaen" w:hAnsi="Sylfaen"/>
          <w:sz w:val="24"/>
          <w:szCs w:val="24"/>
        </w:rPr>
        <w:t>ს</w:t>
      </w:r>
      <w:r w:rsidR="00AC4BB7" w:rsidRPr="000C625B">
        <w:rPr>
          <w:rFonts w:ascii="Sylfaen" w:hAnsi="Sylfaen"/>
          <w:sz w:val="24"/>
          <w:szCs w:val="24"/>
        </w:rPr>
        <w:t>,</w:t>
      </w:r>
      <w:r w:rsidR="00016DC6" w:rsidRPr="000C625B">
        <w:rPr>
          <w:rFonts w:ascii="Sylfaen" w:hAnsi="Sylfaen"/>
          <w:sz w:val="24"/>
          <w:szCs w:val="24"/>
        </w:rPr>
        <w:t xml:space="preserve"> რომელიც</w:t>
      </w:r>
      <w:r w:rsidR="00AC4BB7" w:rsidRPr="000C625B">
        <w:rPr>
          <w:rFonts w:ascii="Sylfaen" w:hAnsi="Sylfaen"/>
          <w:sz w:val="24"/>
          <w:szCs w:val="24"/>
        </w:rPr>
        <w:t xml:space="preserve"> დამზადებულია კონკრეტულად </w:t>
      </w:r>
      <w:r w:rsidR="00016DC6" w:rsidRPr="000C625B">
        <w:rPr>
          <w:rFonts w:ascii="Sylfaen" w:hAnsi="Sylfaen"/>
          <w:sz w:val="24"/>
          <w:szCs w:val="24"/>
        </w:rPr>
        <w:t>მის</w:t>
      </w:r>
      <w:r w:rsidR="000B0154" w:rsidRPr="000C625B">
        <w:rPr>
          <w:rFonts w:ascii="Sylfaen" w:hAnsi="Sylfaen"/>
          <w:sz w:val="24"/>
          <w:szCs w:val="24"/>
        </w:rPr>
        <w:t xml:space="preserve"> კანონიერ </w:t>
      </w:r>
      <w:r w:rsidR="00AC4BB7" w:rsidRPr="000C625B">
        <w:rPr>
          <w:rFonts w:ascii="Sylfaen" w:hAnsi="Sylfaen"/>
          <w:sz w:val="24"/>
          <w:szCs w:val="24"/>
        </w:rPr>
        <w:t>მფლობელობაში არსებული იარაღის მოდელისათვის.</w:t>
      </w:r>
    </w:p>
    <w:p w14:paraId="4BA2FE09" w14:textId="77777777" w:rsidR="00340F9C" w:rsidRPr="000C625B" w:rsidRDefault="00BF34A4" w:rsidP="008F5B8D">
      <w:pPr>
        <w:numPr>
          <w:ilvl w:val="0"/>
          <w:numId w:val="1"/>
        </w:numPr>
        <w:spacing w:after="0"/>
        <w:ind w:left="0" w:firstLine="284"/>
        <w:contextualSpacing/>
        <w:jc w:val="both"/>
        <w:rPr>
          <w:rFonts w:ascii="Sylfaen" w:hAnsi="Sylfaen" w:cs="Calibri"/>
          <w:sz w:val="24"/>
          <w:szCs w:val="24"/>
        </w:rPr>
      </w:pPr>
      <w:r w:rsidRPr="000C625B">
        <w:rPr>
          <w:rFonts w:ascii="Sylfaen" w:hAnsi="Sylfaen"/>
          <w:sz w:val="24"/>
          <w:szCs w:val="24"/>
        </w:rPr>
        <w:lastRenderedPageBreak/>
        <w:t>აღნიშნულის საპირისპიროდ</w:t>
      </w:r>
      <w:r w:rsidR="00CF0BEA" w:rsidRPr="000C625B">
        <w:rPr>
          <w:rFonts w:ascii="Sylfaen" w:hAnsi="Sylfaen"/>
          <w:sz w:val="24"/>
          <w:szCs w:val="24"/>
        </w:rPr>
        <w:t>,</w:t>
      </w:r>
      <w:r w:rsidRPr="000C625B">
        <w:rPr>
          <w:rFonts w:ascii="Sylfaen" w:hAnsi="Sylfaen"/>
          <w:sz w:val="24"/>
          <w:szCs w:val="24"/>
        </w:rPr>
        <w:t xml:space="preserve"> მოსარჩელე </w:t>
      </w:r>
      <w:r w:rsidR="004C6DCD" w:rsidRPr="000C625B">
        <w:rPr>
          <w:rFonts w:ascii="Sylfaen" w:hAnsi="Sylfaen"/>
          <w:sz w:val="24"/>
          <w:szCs w:val="24"/>
        </w:rPr>
        <w:t xml:space="preserve">მხარის </w:t>
      </w:r>
      <w:r w:rsidR="00E33BA0" w:rsidRPr="000C625B">
        <w:rPr>
          <w:rFonts w:ascii="Sylfaen" w:hAnsi="Sylfaen"/>
          <w:sz w:val="24"/>
          <w:szCs w:val="24"/>
        </w:rPr>
        <w:t>მოსაზრებით</w:t>
      </w:r>
      <w:r w:rsidR="004C6DCD" w:rsidRPr="000C625B">
        <w:rPr>
          <w:rFonts w:ascii="Sylfaen" w:hAnsi="Sylfaen"/>
          <w:sz w:val="24"/>
          <w:szCs w:val="24"/>
        </w:rPr>
        <w:t xml:space="preserve">, </w:t>
      </w:r>
      <w:r w:rsidR="00CF0BEA" w:rsidRPr="000C625B">
        <w:rPr>
          <w:rFonts w:ascii="Sylfaen" w:hAnsi="Sylfaen"/>
          <w:sz w:val="24"/>
          <w:szCs w:val="24"/>
        </w:rPr>
        <w:t>„იარაღის შესახებ“ საქართველოს კანონის მე-19 მუხლის მე-2 პუნქტის „ბ“ ქვეპუნქტ</w:t>
      </w:r>
      <w:r w:rsidR="00FA28FE" w:rsidRPr="000C625B">
        <w:rPr>
          <w:rFonts w:ascii="Sylfaen" w:hAnsi="Sylfaen"/>
          <w:sz w:val="24"/>
          <w:szCs w:val="24"/>
        </w:rPr>
        <w:t>ი</w:t>
      </w:r>
      <w:r w:rsidR="001E5126" w:rsidRPr="000C625B">
        <w:rPr>
          <w:rFonts w:ascii="Sylfaen" w:hAnsi="Sylfaen"/>
          <w:sz w:val="24"/>
          <w:szCs w:val="24"/>
        </w:rPr>
        <w:t>ს</w:t>
      </w:r>
      <w:r w:rsidR="00FA28FE" w:rsidRPr="000C625B">
        <w:rPr>
          <w:rFonts w:ascii="Sylfaen" w:hAnsi="Sylfaen"/>
          <w:sz w:val="24"/>
          <w:szCs w:val="24"/>
        </w:rPr>
        <w:t xml:space="preserve"> </w:t>
      </w:r>
      <w:r w:rsidR="001E5126" w:rsidRPr="000C625B">
        <w:rPr>
          <w:rFonts w:ascii="Sylfaen" w:hAnsi="Sylfaen"/>
          <w:sz w:val="24"/>
          <w:szCs w:val="24"/>
        </w:rPr>
        <w:t>ფორმულირებიდან გამომდინარე,</w:t>
      </w:r>
      <w:r w:rsidR="00CF0BEA" w:rsidRPr="000C625B">
        <w:rPr>
          <w:rFonts w:ascii="Sylfaen" w:hAnsi="Sylfaen"/>
          <w:sz w:val="24"/>
          <w:szCs w:val="24"/>
        </w:rPr>
        <w:t xml:space="preserve"> საბრძოლო მასალის კანონიერ </w:t>
      </w:r>
      <w:proofErr w:type="spellStart"/>
      <w:r w:rsidR="00CF0BEA" w:rsidRPr="000C625B">
        <w:rPr>
          <w:rFonts w:ascii="Sylfaen" w:hAnsi="Sylfaen"/>
          <w:sz w:val="24"/>
          <w:szCs w:val="24"/>
        </w:rPr>
        <w:t>შეძენად</w:t>
      </w:r>
      <w:proofErr w:type="spellEnd"/>
      <w:r w:rsidR="00CF0BEA" w:rsidRPr="000C625B">
        <w:rPr>
          <w:rFonts w:ascii="Sylfaen" w:hAnsi="Sylfaen"/>
          <w:sz w:val="24"/>
          <w:szCs w:val="24"/>
        </w:rPr>
        <w:t xml:space="preserve"> </w:t>
      </w:r>
      <w:r w:rsidR="001E5126" w:rsidRPr="000C625B">
        <w:rPr>
          <w:rFonts w:ascii="Sylfaen" w:hAnsi="Sylfaen"/>
          <w:sz w:val="24"/>
          <w:szCs w:val="24"/>
        </w:rPr>
        <w:t>შესაძლოა</w:t>
      </w:r>
      <w:r w:rsidR="00D04D0C" w:rsidRPr="000C625B">
        <w:rPr>
          <w:rFonts w:ascii="Sylfaen" w:hAnsi="Sylfaen"/>
          <w:sz w:val="24"/>
          <w:szCs w:val="24"/>
        </w:rPr>
        <w:t xml:space="preserve"> და უნდა</w:t>
      </w:r>
      <w:r w:rsidR="00CF0BEA" w:rsidRPr="000C625B">
        <w:rPr>
          <w:rFonts w:ascii="Sylfaen" w:hAnsi="Sylfaen"/>
          <w:sz w:val="24"/>
          <w:szCs w:val="24"/>
        </w:rPr>
        <w:t xml:space="preserve"> ჩაითვალოს ნებისმიერი ისეთი ვაზნის შეძენა, რომელიც</w:t>
      </w:r>
      <w:r w:rsidR="005822BB" w:rsidRPr="000C625B">
        <w:rPr>
          <w:rFonts w:ascii="Sylfaen" w:hAnsi="Sylfaen"/>
          <w:sz w:val="24"/>
          <w:szCs w:val="24"/>
        </w:rPr>
        <w:t xml:space="preserve"> </w:t>
      </w:r>
      <w:r w:rsidR="00A860D3" w:rsidRPr="000C625B">
        <w:rPr>
          <w:rFonts w:ascii="Sylfaen" w:hAnsi="Sylfaen"/>
          <w:sz w:val="24"/>
          <w:szCs w:val="24"/>
        </w:rPr>
        <w:t>თავსებადი და ვარგისია</w:t>
      </w:r>
      <w:r w:rsidR="005822BB" w:rsidRPr="000C625B">
        <w:rPr>
          <w:rFonts w:ascii="Sylfaen" w:hAnsi="Sylfaen"/>
          <w:sz w:val="24"/>
          <w:szCs w:val="24"/>
        </w:rPr>
        <w:t xml:space="preserve"> პირის კანონიერ მფლობელობაში არსებული იარაღიდან </w:t>
      </w:r>
      <w:r w:rsidR="00A860D3" w:rsidRPr="000C625B">
        <w:rPr>
          <w:rFonts w:ascii="Sylfaen" w:hAnsi="Sylfaen"/>
          <w:sz w:val="24"/>
          <w:szCs w:val="24"/>
        </w:rPr>
        <w:t>გასროლისათვის</w:t>
      </w:r>
      <w:r w:rsidR="005822BB" w:rsidRPr="000C625B">
        <w:rPr>
          <w:rFonts w:ascii="Sylfaen" w:hAnsi="Sylfaen"/>
          <w:sz w:val="24"/>
          <w:szCs w:val="24"/>
        </w:rPr>
        <w:t xml:space="preserve">. </w:t>
      </w:r>
      <w:r w:rsidR="00D04D0C" w:rsidRPr="000C625B">
        <w:rPr>
          <w:rFonts w:ascii="Sylfaen" w:hAnsi="Sylfaen"/>
          <w:sz w:val="24"/>
          <w:szCs w:val="24"/>
        </w:rPr>
        <w:t>მოსარჩელე მხარე</w:t>
      </w:r>
      <w:r w:rsidR="003C3955" w:rsidRPr="000C625B">
        <w:rPr>
          <w:rFonts w:ascii="Sylfaen" w:hAnsi="Sylfaen"/>
          <w:sz w:val="24"/>
          <w:szCs w:val="24"/>
        </w:rPr>
        <w:t xml:space="preserve"> </w:t>
      </w:r>
      <w:r w:rsidR="00D04D0C" w:rsidRPr="000C625B">
        <w:rPr>
          <w:rFonts w:ascii="Sylfaen" w:hAnsi="Sylfaen"/>
          <w:sz w:val="24"/>
          <w:szCs w:val="24"/>
        </w:rPr>
        <w:t>აღნიშნავს</w:t>
      </w:r>
      <w:r w:rsidR="003C3955" w:rsidRPr="000C625B">
        <w:rPr>
          <w:rFonts w:ascii="Sylfaen" w:hAnsi="Sylfaen"/>
          <w:sz w:val="24"/>
          <w:szCs w:val="24"/>
        </w:rPr>
        <w:t xml:space="preserve">, </w:t>
      </w:r>
      <w:r w:rsidR="00D04D0C" w:rsidRPr="000C625B">
        <w:rPr>
          <w:rFonts w:ascii="Sylfaen" w:hAnsi="Sylfaen"/>
          <w:sz w:val="24"/>
          <w:szCs w:val="24"/>
        </w:rPr>
        <w:t xml:space="preserve">რომ </w:t>
      </w:r>
      <w:r w:rsidR="00732BE6" w:rsidRPr="000C625B">
        <w:rPr>
          <w:rFonts w:ascii="Sylfaen" w:hAnsi="Sylfaen" w:cs="Calibri"/>
          <w:sz w:val="24"/>
          <w:szCs w:val="24"/>
        </w:rPr>
        <w:t xml:space="preserve">ვაზნა არ მზადდება რომელიმე იარაღიდან </w:t>
      </w:r>
      <w:r w:rsidR="00D04D0C" w:rsidRPr="000C625B">
        <w:rPr>
          <w:rFonts w:ascii="Sylfaen" w:hAnsi="Sylfaen" w:cs="Calibri"/>
          <w:sz w:val="24"/>
          <w:szCs w:val="24"/>
        </w:rPr>
        <w:t>გასროლისათვის</w:t>
      </w:r>
      <w:r w:rsidR="00732BE6" w:rsidRPr="000C625B">
        <w:rPr>
          <w:rFonts w:ascii="Sylfaen" w:hAnsi="Sylfaen" w:cs="Calibri"/>
          <w:sz w:val="24"/>
          <w:szCs w:val="24"/>
        </w:rPr>
        <w:t xml:space="preserve">, პირიქით, იარაღი მზადდება ამა თუ იმ კალიბრის ნიმუშის ვაზნის </w:t>
      </w:r>
      <w:proofErr w:type="spellStart"/>
      <w:r w:rsidR="00732BE6" w:rsidRPr="000C625B">
        <w:rPr>
          <w:rFonts w:ascii="Sylfaen" w:hAnsi="Sylfaen" w:cs="Calibri"/>
          <w:sz w:val="24"/>
          <w:szCs w:val="24"/>
        </w:rPr>
        <w:t>გასასროლად</w:t>
      </w:r>
      <w:proofErr w:type="spellEnd"/>
      <w:r w:rsidR="00BE5B1D" w:rsidRPr="000C625B">
        <w:rPr>
          <w:rFonts w:ascii="Sylfaen" w:hAnsi="Sylfaen" w:cs="Calibri"/>
          <w:sz w:val="24"/>
          <w:szCs w:val="24"/>
        </w:rPr>
        <w:t>.</w:t>
      </w:r>
      <w:r w:rsidR="00490F79" w:rsidRPr="000C625B">
        <w:rPr>
          <w:rFonts w:ascii="Sylfaen" w:hAnsi="Sylfaen" w:cs="Calibri"/>
          <w:sz w:val="24"/>
          <w:szCs w:val="24"/>
        </w:rPr>
        <w:t xml:space="preserve"> შესაბამისად</w:t>
      </w:r>
      <w:r w:rsidR="004C6DCD" w:rsidRPr="000C625B">
        <w:rPr>
          <w:rFonts w:ascii="Sylfaen" w:hAnsi="Sylfaen" w:cs="Calibri"/>
          <w:sz w:val="24"/>
          <w:szCs w:val="24"/>
        </w:rPr>
        <w:t xml:space="preserve">, </w:t>
      </w:r>
      <w:r w:rsidR="00E66C5B" w:rsidRPr="000C625B">
        <w:rPr>
          <w:rFonts w:ascii="Sylfaen" w:hAnsi="Sylfaen" w:cs="Calibri"/>
          <w:sz w:val="24"/>
          <w:szCs w:val="24"/>
        </w:rPr>
        <w:t>ვაზნა ვერ იქნება კონკრეტული იარაღისთვის განკუთვნილი, როგორც ამას განმარტავს სასამართლო.</w:t>
      </w:r>
    </w:p>
    <w:p w14:paraId="46F87789" w14:textId="77777777" w:rsidR="000C6205" w:rsidRPr="000C625B" w:rsidRDefault="0024041D" w:rsidP="008F5B8D">
      <w:pPr>
        <w:numPr>
          <w:ilvl w:val="0"/>
          <w:numId w:val="1"/>
        </w:numPr>
        <w:spacing w:after="0"/>
        <w:ind w:left="0" w:firstLine="284"/>
        <w:contextualSpacing/>
        <w:jc w:val="both"/>
        <w:rPr>
          <w:rFonts w:ascii="Sylfaen" w:hAnsi="Sylfaen" w:cs="Calibri"/>
          <w:sz w:val="24"/>
          <w:szCs w:val="24"/>
        </w:rPr>
      </w:pPr>
      <w:r w:rsidRPr="000C625B">
        <w:rPr>
          <w:rFonts w:ascii="Sylfaen" w:hAnsi="Sylfaen" w:cs="Calibri"/>
          <w:sz w:val="24"/>
          <w:szCs w:val="24"/>
        </w:rPr>
        <w:t xml:space="preserve">მოსარჩელე მხარის </w:t>
      </w:r>
      <w:r w:rsidR="00E33BA0" w:rsidRPr="000C625B">
        <w:rPr>
          <w:rFonts w:ascii="Sylfaen" w:hAnsi="Sylfaen" w:cs="Calibri"/>
          <w:sz w:val="24"/>
          <w:szCs w:val="24"/>
        </w:rPr>
        <w:t>პოზიციით</w:t>
      </w:r>
      <w:r w:rsidR="00462E3B" w:rsidRPr="000C625B">
        <w:rPr>
          <w:rFonts w:ascii="Sylfaen" w:hAnsi="Sylfaen" w:cs="Calibri"/>
          <w:sz w:val="24"/>
          <w:szCs w:val="24"/>
        </w:rPr>
        <w:t xml:space="preserve">, ის ფაქტი, რომ </w:t>
      </w:r>
      <w:r w:rsidRPr="000C625B">
        <w:rPr>
          <w:rFonts w:ascii="Sylfaen" w:hAnsi="Sylfaen" w:cs="Calibri"/>
          <w:sz w:val="24"/>
          <w:szCs w:val="24"/>
        </w:rPr>
        <w:t>მოსარჩელე</w:t>
      </w:r>
      <w:r w:rsidR="00470646" w:rsidRPr="000C625B">
        <w:rPr>
          <w:rFonts w:ascii="Sylfaen" w:hAnsi="Sylfaen" w:cs="Calibri"/>
          <w:sz w:val="24"/>
          <w:szCs w:val="24"/>
        </w:rPr>
        <w:t xml:space="preserve"> და სასამართლო სხვადასხვაგვარად განმარტავენ სადავო ნორმას, მეტყველებს სწორედ </w:t>
      </w:r>
      <w:r w:rsidR="00BE1804" w:rsidRPr="000C625B">
        <w:rPr>
          <w:rFonts w:ascii="Sylfaen" w:hAnsi="Sylfaen" w:cs="Calibri"/>
          <w:sz w:val="24"/>
          <w:szCs w:val="24"/>
        </w:rPr>
        <w:t>ამ ნორმის</w:t>
      </w:r>
      <w:r w:rsidR="00470646" w:rsidRPr="000C625B">
        <w:rPr>
          <w:rFonts w:ascii="Sylfaen" w:hAnsi="Sylfaen" w:cs="Calibri"/>
          <w:sz w:val="24"/>
          <w:szCs w:val="24"/>
        </w:rPr>
        <w:t xml:space="preserve"> ბუნდოვანებაზე</w:t>
      </w:r>
      <w:r w:rsidR="00E519BF" w:rsidRPr="000C625B">
        <w:rPr>
          <w:rFonts w:ascii="Sylfaen" w:hAnsi="Sylfaen" w:cs="Calibri"/>
          <w:sz w:val="24"/>
          <w:szCs w:val="24"/>
        </w:rPr>
        <w:t xml:space="preserve">. ნორმა </w:t>
      </w:r>
      <w:r w:rsidR="00E75EE9" w:rsidRPr="000C625B">
        <w:rPr>
          <w:rFonts w:ascii="Sylfaen" w:hAnsi="Sylfaen" w:cs="Calibri"/>
          <w:sz w:val="24"/>
          <w:szCs w:val="24"/>
        </w:rPr>
        <w:t xml:space="preserve">და მასში გამოყენებული ტერმინები </w:t>
      </w:r>
      <w:r w:rsidR="00E519BF" w:rsidRPr="000C625B">
        <w:rPr>
          <w:rFonts w:ascii="Sylfaen" w:hAnsi="Sylfaen" w:cs="Calibri"/>
          <w:sz w:val="24"/>
          <w:szCs w:val="24"/>
        </w:rPr>
        <w:t xml:space="preserve">არაა მკაფიოდ ფორმულირებული, </w:t>
      </w:r>
      <w:r w:rsidR="003C1685" w:rsidRPr="000C625B">
        <w:rPr>
          <w:rFonts w:ascii="Sylfaen" w:hAnsi="Sylfaen" w:cs="Calibri"/>
          <w:sz w:val="24"/>
          <w:szCs w:val="24"/>
        </w:rPr>
        <w:t xml:space="preserve">რის გამოც </w:t>
      </w:r>
      <w:r w:rsidR="00E75EE9" w:rsidRPr="000C625B">
        <w:rPr>
          <w:rFonts w:ascii="Sylfaen" w:hAnsi="Sylfaen" w:cs="Calibri"/>
          <w:sz w:val="24"/>
          <w:szCs w:val="24"/>
        </w:rPr>
        <w:t>მოსარჩელემ</w:t>
      </w:r>
      <w:r w:rsidR="003C1685" w:rsidRPr="000C625B">
        <w:rPr>
          <w:rFonts w:ascii="Sylfaen" w:hAnsi="Sylfaen" w:cs="Calibri"/>
          <w:sz w:val="24"/>
          <w:szCs w:val="24"/>
        </w:rPr>
        <w:t xml:space="preserve"> ვერ შეძლო ამ ნორმაში სასამართლოს მიერ </w:t>
      </w:r>
      <w:r w:rsidR="00E75EE9" w:rsidRPr="000C625B">
        <w:rPr>
          <w:rFonts w:ascii="Sylfaen" w:hAnsi="Sylfaen" w:cs="Calibri"/>
          <w:sz w:val="24"/>
          <w:szCs w:val="24"/>
        </w:rPr>
        <w:t xml:space="preserve">მის საქმეზე </w:t>
      </w:r>
      <w:proofErr w:type="spellStart"/>
      <w:r w:rsidR="003C1685" w:rsidRPr="000C625B">
        <w:rPr>
          <w:rFonts w:ascii="Sylfaen" w:hAnsi="Sylfaen" w:cs="Calibri"/>
          <w:sz w:val="24"/>
          <w:szCs w:val="24"/>
        </w:rPr>
        <w:t>ამოკითხული</w:t>
      </w:r>
      <w:proofErr w:type="spellEnd"/>
      <w:r w:rsidR="003C1685" w:rsidRPr="000C625B">
        <w:rPr>
          <w:rFonts w:ascii="Sylfaen" w:hAnsi="Sylfaen" w:cs="Calibri"/>
          <w:sz w:val="24"/>
          <w:szCs w:val="24"/>
        </w:rPr>
        <w:t xml:space="preserve"> შინაარსის წინასწარ განჭვრეტა.</w:t>
      </w:r>
    </w:p>
    <w:p w14:paraId="450E9B8F" w14:textId="77777777" w:rsidR="00597D8E" w:rsidRPr="000C625B" w:rsidRDefault="00260BF1" w:rsidP="008F5B8D">
      <w:pPr>
        <w:numPr>
          <w:ilvl w:val="0"/>
          <w:numId w:val="1"/>
        </w:numPr>
        <w:spacing w:after="0"/>
        <w:ind w:left="0" w:firstLine="284"/>
        <w:contextualSpacing/>
        <w:jc w:val="both"/>
        <w:rPr>
          <w:rFonts w:ascii="Sylfaen" w:hAnsi="Sylfaen" w:cs="Calibri"/>
          <w:sz w:val="24"/>
          <w:szCs w:val="24"/>
        </w:rPr>
      </w:pPr>
      <w:r w:rsidRPr="000C625B">
        <w:rPr>
          <w:rFonts w:ascii="Sylfaen" w:hAnsi="Sylfaen" w:cs="Calibri"/>
          <w:sz w:val="24"/>
          <w:szCs w:val="24"/>
        </w:rPr>
        <w:t xml:space="preserve">ყოველივე ზემოაღნიშნულიდან გამომდინარე, მოსარჩელე მხარე მიიჩნევს, რომ </w:t>
      </w:r>
      <w:r w:rsidR="00B021EA" w:rsidRPr="000C625B">
        <w:rPr>
          <w:rFonts w:ascii="Sylfaen" w:hAnsi="Sylfaen" w:cs="Calibri"/>
          <w:sz w:val="24"/>
          <w:szCs w:val="24"/>
        </w:rPr>
        <w:t>სადავო ნორმების ის ნორმატიული შინაარსი, რომელიც დასჯად ქმედებად აცხადებს ისეთი საბრძოლო მასალის შეძენა-შენახვას, რომელიც</w:t>
      </w:r>
      <w:r w:rsidR="00B062FD" w:rsidRPr="000C625B">
        <w:rPr>
          <w:rFonts w:ascii="Sylfaen" w:hAnsi="Sylfaen" w:cs="Calibri"/>
          <w:sz w:val="24"/>
          <w:szCs w:val="24"/>
        </w:rPr>
        <w:t>,</w:t>
      </w:r>
      <w:r w:rsidR="00B021EA" w:rsidRPr="000C625B">
        <w:rPr>
          <w:rFonts w:ascii="Sylfaen" w:hAnsi="Sylfaen" w:cs="Calibri"/>
          <w:sz w:val="24"/>
          <w:szCs w:val="24"/>
        </w:rPr>
        <w:t xml:space="preserve"> მართალია</w:t>
      </w:r>
      <w:r w:rsidR="00B062FD" w:rsidRPr="000C625B">
        <w:rPr>
          <w:rFonts w:ascii="Sylfaen" w:hAnsi="Sylfaen" w:cs="Calibri"/>
          <w:sz w:val="24"/>
          <w:szCs w:val="24"/>
        </w:rPr>
        <w:t>,</w:t>
      </w:r>
      <w:r w:rsidR="00B021EA" w:rsidRPr="000C625B">
        <w:rPr>
          <w:rFonts w:ascii="Sylfaen" w:hAnsi="Sylfaen" w:cs="Calibri"/>
          <w:sz w:val="24"/>
          <w:szCs w:val="24"/>
        </w:rPr>
        <w:t xml:space="preserve"> არ არის შექმნილი მხოლოდ და მხოლოდ პირის საკუთრებაში (მფლობელობაში) არსებული რეგისტრირებული ან აღრიცხული იარაღის მოდელისთვის, მაგრამ მისი კალიბრის ზომიდან გამომდინარე, თავსებადია პირის საკუთრებაში (მფლობელობაში) არსებული რეგისტრირებული ან აღრიცხული იარაღიდან გასროლისათვის, ეწინააღმდეგება საქართველოს კონსტიტუციის 31-ე მუხლის მე-9 პუნქტს.</w:t>
      </w:r>
    </w:p>
    <w:p w14:paraId="5C72A027" w14:textId="77777777" w:rsidR="00597D8E" w:rsidRPr="000C625B" w:rsidRDefault="00597D8E" w:rsidP="008F5B8D">
      <w:pPr>
        <w:numPr>
          <w:ilvl w:val="0"/>
          <w:numId w:val="1"/>
        </w:numPr>
        <w:spacing w:after="0"/>
        <w:ind w:left="0" w:firstLine="284"/>
        <w:contextualSpacing/>
        <w:jc w:val="both"/>
        <w:rPr>
          <w:rFonts w:ascii="Sylfaen" w:hAnsi="Sylfaen" w:cs="Calibri"/>
          <w:sz w:val="24"/>
          <w:szCs w:val="24"/>
        </w:rPr>
      </w:pPr>
      <w:r w:rsidRPr="000C625B">
        <w:rPr>
          <w:rFonts w:ascii="Sylfaen" w:hAnsi="Sylfaen" w:cs="Calibri"/>
          <w:sz w:val="24"/>
          <w:szCs w:val="24"/>
        </w:rPr>
        <w:t>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 პრაქტიკაზე.</w:t>
      </w:r>
    </w:p>
    <w:p w14:paraId="3476E4E4" w14:textId="77777777" w:rsidR="00B062FD" w:rsidRPr="000C625B" w:rsidRDefault="00732865" w:rsidP="008F5B8D">
      <w:pPr>
        <w:numPr>
          <w:ilvl w:val="0"/>
          <w:numId w:val="1"/>
        </w:numPr>
        <w:spacing w:after="0"/>
        <w:ind w:left="0" w:firstLine="284"/>
        <w:contextualSpacing/>
        <w:jc w:val="both"/>
        <w:rPr>
          <w:rFonts w:ascii="Sylfaen" w:hAnsi="Sylfaen" w:cs="Calibri"/>
          <w:sz w:val="24"/>
          <w:szCs w:val="24"/>
        </w:rPr>
      </w:pPr>
      <w:r w:rsidRPr="000C625B">
        <w:rPr>
          <w:rFonts w:ascii="Sylfaen" w:hAnsi="Sylfaen" w:cs="Calibri"/>
          <w:sz w:val="24"/>
          <w:szCs w:val="24"/>
        </w:rPr>
        <w:t xml:space="preserve">საქმის არსებითი განხილვის სხდომაზე, მოსარჩელე მხარის წარმომადგენელმა განმარტა, რომ </w:t>
      </w:r>
      <w:r w:rsidRPr="000C625B">
        <w:rPr>
          <w:rFonts w:ascii="Sylfaen" w:hAnsi="Sylfaen"/>
          <w:sz w:val="24"/>
          <w:szCs w:val="24"/>
        </w:rPr>
        <w:t>იგივე მოდიფიკაციის</w:t>
      </w:r>
      <w:r w:rsidR="0035787F" w:rsidRPr="000C625B">
        <w:rPr>
          <w:rFonts w:ascii="Sylfaen" w:hAnsi="Sylfaen"/>
          <w:sz w:val="24"/>
          <w:szCs w:val="24"/>
        </w:rPr>
        <w:t xml:space="preserve">ა და მახასიათებლების </w:t>
      </w:r>
      <w:r w:rsidRPr="000C625B">
        <w:rPr>
          <w:rFonts w:ascii="Sylfaen" w:hAnsi="Sylfaen"/>
          <w:sz w:val="24"/>
          <w:szCs w:val="24"/>
        </w:rPr>
        <w:t>ვაზნები,</w:t>
      </w:r>
      <w:r w:rsidR="0035787F" w:rsidRPr="000C625B">
        <w:rPr>
          <w:rFonts w:ascii="Sylfaen" w:hAnsi="Sylfaen"/>
          <w:sz w:val="24"/>
          <w:szCs w:val="24"/>
        </w:rPr>
        <w:t xml:space="preserve"> რის საფუძველზეც</w:t>
      </w:r>
      <w:r w:rsidRPr="000C625B">
        <w:rPr>
          <w:rFonts w:ascii="Sylfaen" w:hAnsi="Sylfaen"/>
          <w:sz w:val="24"/>
          <w:szCs w:val="24"/>
        </w:rPr>
        <w:t xml:space="preserve"> გიგა ჭელიძის მსჯავრდება </w:t>
      </w:r>
      <w:r w:rsidR="0035787F" w:rsidRPr="000C625B">
        <w:rPr>
          <w:rFonts w:ascii="Sylfaen" w:hAnsi="Sylfaen"/>
          <w:sz w:val="24"/>
          <w:szCs w:val="24"/>
        </w:rPr>
        <w:t>მოხდა,</w:t>
      </w:r>
      <w:r w:rsidRPr="000C625B">
        <w:rPr>
          <w:rFonts w:ascii="Sylfaen" w:hAnsi="Sylfaen"/>
          <w:sz w:val="24"/>
          <w:szCs w:val="24"/>
        </w:rPr>
        <w:t xml:space="preserve"> არის თავისუფ</w:t>
      </w:r>
      <w:r w:rsidR="0035787F" w:rsidRPr="000C625B">
        <w:rPr>
          <w:rFonts w:ascii="Sylfaen" w:hAnsi="Sylfaen"/>
          <w:sz w:val="24"/>
          <w:szCs w:val="24"/>
        </w:rPr>
        <w:t>ალ</w:t>
      </w:r>
      <w:r w:rsidRPr="000C625B">
        <w:rPr>
          <w:rFonts w:ascii="Sylfaen" w:hAnsi="Sylfaen"/>
          <w:sz w:val="24"/>
          <w:szCs w:val="24"/>
        </w:rPr>
        <w:t xml:space="preserve"> ბრუნვაში და</w:t>
      </w:r>
      <w:r w:rsidR="00BC28F3" w:rsidRPr="000C625B">
        <w:rPr>
          <w:rFonts w:ascii="Sylfaen" w:hAnsi="Sylfaen"/>
          <w:sz w:val="24"/>
          <w:szCs w:val="24"/>
        </w:rPr>
        <w:t xml:space="preserve"> მისი შეძენა</w:t>
      </w:r>
      <w:r w:rsidRPr="000C625B">
        <w:rPr>
          <w:rFonts w:ascii="Sylfaen" w:hAnsi="Sylfaen"/>
          <w:sz w:val="24"/>
          <w:szCs w:val="24"/>
        </w:rPr>
        <w:t xml:space="preserve"> იარაღის მაღაზიაში</w:t>
      </w:r>
      <w:r w:rsidR="00BC28F3" w:rsidRPr="000C625B">
        <w:rPr>
          <w:rFonts w:ascii="Sylfaen" w:hAnsi="Sylfaen"/>
          <w:sz w:val="24"/>
          <w:szCs w:val="24"/>
        </w:rPr>
        <w:t>ა</w:t>
      </w:r>
      <w:r w:rsidRPr="000C625B">
        <w:rPr>
          <w:rFonts w:ascii="Sylfaen" w:hAnsi="Sylfaen"/>
          <w:sz w:val="24"/>
          <w:szCs w:val="24"/>
        </w:rPr>
        <w:t xml:space="preserve"> </w:t>
      </w:r>
      <w:r w:rsidR="003153CF" w:rsidRPr="000C625B">
        <w:rPr>
          <w:rFonts w:ascii="Sylfaen" w:hAnsi="Sylfaen"/>
          <w:sz w:val="24"/>
          <w:szCs w:val="24"/>
        </w:rPr>
        <w:t>შესაძლებელი. წარმომადგენლის განმარტებით, აღნიშნული ვაზნა თავადაც შეიძინა კერძო მაღაზიიდან, ხოლო</w:t>
      </w:r>
      <w:r w:rsidRPr="000C625B">
        <w:rPr>
          <w:rFonts w:ascii="Sylfaen" w:hAnsi="Sylfaen"/>
          <w:sz w:val="24"/>
          <w:szCs w:val="24"/>
        </w:rPr>
        <w:t xml:space="preserve"> თავდაცვის სამინისტროს არ გააჩნია რაიმე კატალოგი და არც ვაზნას არ მოჰყვება ინსტრუქცია, რომ</w:t>
      </w:r>
      <w:r w:rsidR="0035787F" w:rsidRPr="000C625B">
        <w:rPr>
          <w:rFonts w:ascii="Sylfaen" w:hAnsi="Sylfaen"/>
          <w:sz w:val="24"/>
          <w:szCs w:val="24"/>
        </w:rPr>
        <w:t xml:space="preserve"> აღნიშნული</w:t>
      </w:r>
      <w:r w:rsidRPr="000C625B">
        <w:rPr>
          <w:rFonts w:ascii="Sylfaen" w:hAnsi="Sylfaen"/>
          <w:sz w:val="24"/>
          <w:szCs w:val="24"/>
        </w:rPr>
        <w:t xml:space="preserve"> ვაზნა განკუთვნილი</w:t>
      </w:r>
      <w:r w:rsidR="003153CF" w:rsidRPr="000C625B">
        <w:rPr>
          <w:rFonts w:ascii="Sylfaen" w:hAnsi="Sylfaen"/>
          <w:sz w:val="24"/>
          <w:szCs w:val="24"/>
        </w:rPr>
        <w:t>ა</w:t>
      </w:r>
      <w:r w:rsidRPr="000C625B">
        <w:rPr>
          <w:rFonts w:ascii="Sylfaen" w:hAnsi="Sylfaen"/>
          <w:sz w:val="24"/>
          <w:szCs w:val="24"/>
        </w:rPr>
        <w:t xml:space="preserve"> ამა და </w:t>
      </w:r>
      <w:r w:rsidR="0035787F" w:rsidRPr="000C625B">
        <w:rPr>
          <w:rFonts w:ascii="Sylfaen" w:hAnsi="Sylfaen"/>
          <w:sz w:val="24"/>
          <w:szCs w:val="24"/>
        </w:rPr>
        <w:t>ი</w:t>
      </w:r>
      <w:r w:rsidRPr="000C625B">
        <w:rPr>
          <w:rFonts w:ascii="Sylfaen" w:hAnsi="Sylfaen"/>
          <w:sz w:val="24"/>
          <w:szCs w:val="24"/>
        </w:rPr>
        <w:t>მ იარაღ</w:t>
      </w:r>
      <w:r w:rsidR="0035787F" w:rsidRPr="000C625B">
        <w:rPr>
          <w:rFonts w:ascii="Sylfaen" w:hAnsi="Sylfaen"/>
          <w:sz w:val="24"/>
          <w:szCs w:val="24"/>
        </w:rPr>
        <w:t>იდან</w:t>
      </w:r>
      <w:r w:rsidRPr="000C625B">
        <w:rPr>
          <w:rFonts w:ascii="Sylfaen" w:hAnsi="Sylfaen"/>
          <w:sz w:val="24"/>
          <w:szCs w:val="24"/>
        </w:rPr>
        <w:t xml:space="preserve"> </w:t>
      </w:r>
      <w:r w:rsidR="0035787F" w:rsidRPr="000C625B">
        <w:rPr>
          <w:rFonts w:ascii="Sylfaen" w:hAnsi="Sylfaen"/>
          <w:sz w:val="24"/>
          <w:szCs w:val="24"/>
        </w:rPr>
        <w:t>გასროლისთვის</w:t>
      </w:r>
      <w:r w:rsidRPr="000C625B">
        <w:rPr>
          <w:rFonts w:ascii="Sylfaen" w:hAnsi="Sylfaen"/>
          <w:sz w:val="24"/>
          <w:szCs w:val="24"/>
        </w:rPr>
        <w:t xml:space="preserve">. კანონმდებლობაში პირდაპირი აკრძალვა გვხვდება მხოლოდ 4 ტიპის ვაზნასთან დაკავშირებით, ესენია: </w:t>
      </w:r>
      <w:proofErr w:type="spellStart"/>
      <w:r w:rsidRPr="000C625B">
        <w:rPr>
          <w:rFonts w:ascii="Sylfaen" w:hAnsi="Sylfaen"/>
          <w:sz w:val="24"/>
          <w:szCs w:val="24"/>
        </w:rPr>
        <w:t>ტრასირებადი</w:t>
      </w:r>
      <w:proofErr w:type="spellEnd"/>
      <w:r w:rsidRPr="000C625B">
        <w:rPr>
          <w:rFonts w:ascii="Sylfaen" w:hAnsi="Sylfaen"/>
          <w:sz w:val="24"/>
          <w:szCs w:val="24"/>
        </w:rPr>
        <w:t xml:space="preserve">, ცეცხლგამჩენი, </w:t>
      </w:r>
      <w:proofErr w:type="spellStart"/>
      <w:r w:rsidRPr="000C625B">
        <w:rPr>
          <w:rFonts w:ascii="Sylfaen" w:hAnsi="Sylfaen"/>
          <w:sz w:val="24"/>
          <w:szCs w:val="24"/>
        </w:rPr>
        <w:t>ჯავშანგამტარი</w:t>
      </w:r>
      <w:proofErr w:type="spellEnd"/>
      <w:r w:rsidRPr="000C625B">
        <w:rPr>
          <w:rFonts w:ascii="Sylfaen" w:hAnsi="Sylfaen"/>
          <w:sz w:val="24"/>
          <w:szCs w:val="24"/>
        </w:rPr>
        <w:t xml:space="preserve">, </w:t>
      </w:r>
      <w:proofErr w:type="spellStart"/>
      <w:r w:rsidRPr="000C625B">
        <w:rPr>
          <w:rFonts w:ascii="Sylfaen" w:hAnsi="Sylfaen"/>
          <w:sz w:val="24"/>
          <w:szCs w:val="24"/>
        </w:rPr>
        <w:t>აფეთქებადი</w:t>
      </w:r>
      <w:proofErr w:type="spellEnd"/>
      <w:r w:rsidRPr="000C625B">
        <w:rPr>
          <w:rFonts w:ascii="Sylfaen" w:hAnsi="Sylfaen"/>
          <w:sz w:val="24"/>
          <w:szCs w:val="24"/>
        </w:rPr>
        <w:t xml:space="preserve">. </w:t>
      </w:r>
      <w:r w:rsidR="0035787F" w:rsidRPr="000C625B">
        <w:rPr>
          <w:rFonts w:ascii="Sylfaen" w:hAnsi="Sylfaen"/>
          <w:sz w:val="24"/>
          <w:szCs w:val="24"/>
        </w:rPr>
        <w:t xml:space="preserve">მოსარჩელის მითითებით, </w:t>
      </w:r>
      <w:r w:rsidR="00785721" w:rsidRPr="000C625B">
        <w:rPr>
          <w:rFonts w:ascii="Sylfaen" w:hAnsi="Sylfaen"/>
          <w:sz w:val="24"/>
          <w:szCs w:val="24"/>
        </w:rPr>
        <w:t xml:space="preserve">კანონმდებლობა არ </w:t>
      </w:r>
      <w:r w:rsidR="00BC28F3" w:rsidRPr="000C625B">
        <w:rPr>
          <w:rFonts w:ascii="Sylfaen" w:hAnsi="Sylfaen"/>
          <w:sz w:val="24"/>
          <w:szCs w:val="24"/>
        </w:rPr>
        <w:t>გ</w:t>
      </w:r>
      <w:r w:rsidR="00785721" w:rsidRPr="000C625B">
        <w:rPr>
          <w:rFonts w:ascii="Sylfaen" w:hAnsi="Sylfaen"/>
          <w:sz w:val="24"/>
          <w:szCs w:val="24"/>
        </w:rPr>
        <w:t>ან</w:t>
      </w:r>
      <w:r w:rsidR="00BC28F3" w:rsidRPr="000C625B">
        <w:rPr>
          <w:rFonts w:ascii="Sylfaen" w:hAnsi="Sylfaen"/>
          <w:sz w:val="24"/>
          <w:szCs w:val="24"/>
        </w:rPr>
        <w:t>ა</w:t>
      </w:r>
      <w:r w:rsidR="00785721" w:rsidRPr="000C625B">
        <w:rPr>
          <w:rFonts w:ascii="Sylfaen" w:hAnsi="Sylfaen"/>
          <w:sz w:val="24"/>
          <w:szCs w:val="24"/>
        </w:rPr>
        <w:t xml:space="preserve">სხვავებს ვაზნებს მისი საბრძოლო </w:t>
      </w:r>
      <w:r w:rsidR="0035787F" w:rsidRPr="000C625B">
        <w:rPr>
          <w:rFonts w:ascii="Sylfaen" w:hAnsi="Sylfaen"/>
          <w:sz w:val="24"/>
          <w:szCs w:val="24"/>
        </w:rPr>
        <w:t xml:space="preserve">თუ </w:t>
      </w:r>
      <w:r w:rsidR="00785721" w:rsidRPr="000C625B">
        <w:rPr>
          <w:rFonts w:ascii="Sylfaen" w:hAnsi="Sylfaen"/>
          <w:sz w:val="24"/>
          <w:szCs w:val="24"/>
        </w:rPr>
        <w:t xml:space="preserve">სანადირო დანიშნულების </w:t>
      </w:r>
      <w:r w:rsidR="0035787F" w:rsidRPr="000C625B">
        <w:rPr>
          <w:rFonts w:ascii="Sylfaen" w:hAnsi="Sylfaen"/>
          <w:sz w:val="24"/>
          <w:szCs w:val="24"/>
        </w:rPr>
        <w:t>მიხედვით და, შესაბამისად, გაუგებარია</w:t>
      </w:r>
      <w:r w:rsidR="00710BC5">
        <w:rPr>
          <w:rFonts w:ascii="Sylfaen" w:hAnsi="Sylfaen"/>
          <w:sz w:val="24"/>
          <w:szCs w:val="24"/>
        </w:rPr>
        <w:t>,</w:t>
      </w:r>
      <w:r w:rsidR="0035787F" w:rsidRPr="000C625B">
        <w:rPr>
          <w:rFonts w:ascii="Sylfaen" w:hAnsi="Sylfaen"/>
          <w:sz w:val="24"/>
          <w:szCs w:val="24"/>
        </w:rPr>
        <w:t xml:space="preserve"> რატომ დაეყრდნო </w:t>
      </w:r>
      <w:r w:rsidR="00BC28F3" w:rsidRPr="000C625B">
        <w:rPr>
          <w:rFonts w:ascii="Sylfaen" w:hAnsi="Sylfaen"/>
          <w:sz w:val="24"/>
          <w:szCs w:val="24"/>
        </w:rPr>
        <w:t>მოსარჩელის</w:t>
      </w:r>
      <w:r w:rsidR="0035787F" w:rsidRPr="000C625B">
        <w:rPr>
          <w:rFonts w:ascii="Sylfaen" w:hAnsi="Sylfaen"/>
          <w:sz w:val="24"/>
          <w:szCs w:val="24"/>
        </w:rPr>
        <w:t xml:space="preserve"> მსჯავრდება იმ </w:t>
      </w:r>
      <w:r w:rsidR="0035787F" w:rsidRPr="000C625B">
        <w:rPr>
          <w:rFonts w:ascii="Sylfaen" w:hAnsi="Sylfaen"/>
          <w:sz w:val="24"/>
          <w:szCs w:val="24"/>
        </w:rPr>
        <w:lastRenderedPageBreak/>
        <w:t>გარემოებას, რომ ვაზნების ექსპერტიზამ მიიჩნია საბრძოლო</w:t>
      </w:r>
      <w:r w:rsidR="00BC28F3" w:rsidRPr="000C625B">
        <w:rPr>
          <w:rFonts w:ascii="Sylfaen" w:hAnsi="Sylfaen"/>
          <w:sz w:val="24"/>
          <w:szCs w:val="24"/>
        </w:rPr>
        <w:t>-</w:t>
      </w:r>
      <w:r w:rsidR="0035787F" w:rsidRPr="000C625B">
        <w:rPr>
          <w:rFonts w:ascii="Sylfaen" w:hAnsi="Sylfaen"/>
          <w:sz w:val="24"/>
          <w:szCs w:val="24"/>
        </w:rPr>
        <w:t>სამხედრო ტიპის ვაზნებად.</w:t>
      </w:r>
    </w:p>
    <w:p w14:paraId="5037C7CF" w14:textId="6CF3CAE4" w:rsidR="00597D8E" w:rsidRPr="000C625B" w:rsidRDefault="00271523" w:rsidP="008918C8">
      <w:pPr>
        <w:numPr>
          <w:ilvl w:val="0"/>
          <w:numId w:val="1"/>
        </w:numPr>
        <w:spacing w:after="0"/>
        <w:ind w:left="0" w:firstLine="284"/>
        <w:contextualSpacing/>
        <w:jc w:val="both"/>
        <w:rPr>
          <w:rFonts w:ascii="Sylfaen" w:hAnsi="Sylfaen" w:cs="Calibri"/>
          <w:sz w:val="24"/>
          <w:szCs w:val="24"/>
        </w:rPr>
      </w:pPr>
      <w:r w:rsidRPr="000C625B">
        <w:rPr>
          <w:rFonts w:ascii="Sylfaen" w:hAnsi="Sylfaen"/>
          <w:sz w:val="24"/>
          <w:szCs w:val="24"/>
        </w:rPr>
        <w:t>მოპასუხე მხარის წარმომადგენლის განმარტების თანახმად, განსახილველ საკითხთან დაკავშირებით</w:t>
      </w:r>
      <w:r w:rsidR="007B622B">
        <w:rPr>
          <w:rFonts w:ascii="Sylfaen" w:hAnsi="Sylfaen"/>
          <w:sz w:val="24"/>
          <w:szCs w:val="24"/>
        </w:rPr>
        <w:t>,</w:t>
      </w:r>
      <w:r w:rsidRPr="000C625B">
        <w:rPr>
          <w:rFonts w:ascii="Sylfaen" w:hAnsi="Sylfaen"/>
          <w:sz w:val="24"/>
          <w:szCs w:val="24"/>
        </w:rPr>
        <w:t xml:space="preserve"> საერთო სასამართლოებს აქვთ ჩამოყალიბებული თანმიმდევრული პრაქტიკა</w:t>
      </w:r>
      <w:r w:rsidR="002920F4" w:rsidRPr="000C625B">
        <w:rPr>
          <w:rFonts w:ascii="Sylfaen" w:hAnsi="Sylfaen"/>
          <w:sz w:val="24"/>
          <w:szCs w:val="24"/>
        </w:rPr>
        <w:t xml:space="preserve"> </w:t>
      </w:r>
      <w:r w:rsidRPr="000C625B">
        <w:rPr>
          <w:rFonts w:ascii="Sylfaen" w:hAnsi="Sylfaen"/>
          <w:sz w:val="24"/>
          <w:szCs w:val="24"/>
        </w:rPr>
        <w:t>სადავო ნორმასთან დაკავშირებით</w:t>
      </w:r>
      <w:r w:rsidR="002920F4" w:rsidRPr="000C625B">
        <w:rPr>
          <w:rFonts w:ascii="Sylfaen" w:hAnsi="Sylfaen"/>
          <w:sz w:val="24"/>
          <w:szCs w:val="24"/>
        </w:rPr>
        <w:t xml:space="preserve"> და </w:t>
      </w:r>
      <w:r w:rsidRPr="000C625B">
        <w:rPr>
          <w:rFonts w:ascii="Sylfaen" w:hAnsi="Sylfaen"/>
          <w:sz w:val="24"/>
          <w:szCs w:val="24"/>
        </w:rPr>
        <w:t>არ არსებობს ურთიერთსაწინააღმდეგო ან არაერთგვაროვანი განმარტებები. აღნიშნულ შემთხვევაში</w:t>
      </w:r>
      <w:r w:rsidR="002920F4" w:rsidRPr="000C625B">
        <w:rPr>
          <w:rFonts w:ascii="Sylfaen" w:hAnsi="Sylfaen"/>
          <w:sz w:val="24"/>
          <w:szCs w:val="24"/>
        </w:rPr>
        <w:t>,</w:t>
      </w:r>
      <w:r w:rsidRPr="000C625B">
        <w:rPr>
          <w:rFonts w:ascii="Sylfaen" w:hAnsi="Sylfaen"/>
          <w:sz w:val="24"/>
          <w:szCs w:val="24"/>
        </w:rPr>
        <w:t xml:space="preserve"> ასევე არ მომხდარა საერთო სასამართლოების დადგენილი პრაქტიკის შეცვლა ანდა ახლად იდე</w:t>
      </w:r>
      <w:r w:rsidR="00BC28F3" w:rsidRPr="000C625B">
        <w:rPr>
          <w:rFonts w:ascii="Sylfaen" w:hAnsi="Sylfaen"/>
          <w:sz w:val="24"/>
          <w:szCs w:val="24"/>
        </w:rPr>
        <w:t>ნტი</w:t>
      </w:r>
      <w:r w:rsidRPr="000C625B">
        <w:rPr>
          <w:rFonts w:ascii="Sylfaen" w:hAnsi="Sylfaen"/>
          <w:sz w:val="24"/>
          <w:szCs w:val="24"/>
        </w:rPr>
        <w:t xml:space="preserve">ფიცირებული ნორმის შინაარსის გავრცელება მის განმარტებამდე ჩადენილ ქმედებებზე. </w:t>
      </w:r>
      <w:r w:rsidR="00C45662" w:rsidRPr="000C625B">
        <w:rPr>
          <w:rFonts w:ascii="Sylfaen" w:hAnsi="Sylfaen"/>
          <w:sz w:val="24"/>
          <w:szCs w:val="24"/>
        </w:rPr>
        <w:t xml:space="preserve">აგრეთვე, </w:t>
      </w:r>
      <w:r w:rsidRPr="000C625B">
        <w:rPr>
          <w:rFonts w:ascii="Sylfaen" w:hAnsi="Sylfaen"/>
          <w:sz w:val="24"/>
          <w:szCs w:val="24"/>
        </w:rPr>
        <w:t>სადავო ნორმის განმარტება არ მომხდარა ზედმეტად ფართო</w:t>
      </w:r>
      <w:r w:rsidR="00C45662" w:rsidRPr="000C625B">
        <w:rPr>
          <w:rFonts w:ascii="Sylfaen" w:hAnsi="Sylfaen"/>
          <w:sz w:val="24"/>
          <w:szCs w:val="24"/>
        </w:rPr>
        <w:t xml:space="preserve">დ და მოცემულ შემთხვევაში არსებობდა დასჯადი ქმედების წინასწარ განჭვრეტის შესაძლებლობა. მოპასუხე </w:t>
      </w:r>
      <w:r w:rsidR="00BC28F3" w:rsidRPr="000C625B">
        <w:rPr>
          <w:rFonts w:ascii="Sylfaen" w:hAnsi="Sylfaen"/>
          <w:sz w:val="24"/>
          <w:szCs w:val="24"/>
        </w:rPr>
        <w:t>მხარე</w:t>
      </w:r>
      <w:r w:rsidR="00C45662" w:rsidRPr="000C625B">
        <w:rPr>
          <w:rFonts w:ascii="Sylfaen" w:hAnsi="Sylfaen"/>
          <w:sz w:val="24"/>
          <w:szCs w:val="24"/>
        </w:rPr>
        <w:t xml:space="preserve"> მიუთითებს, „იარაღის შესახებ“ </w:t>
      </w:r>
      <w:r w:rsidR="009E2271">
        <w:rPr>
          <w:rFonts w:ascii="Sylfaen" w:hAnsi="Sylfaen"/>
          <w:sz w:val="24"/>
          <w:szCs w:val="24"/>
        </w:rPr>
        <w:t xml:space="preserve">საქართველოს კანონის </w:t>
      </w:r>
      <w:r w:rsidR="00C45662" w:rsidRPr="000C625B">
        <w:rPr>
          <w:rFonts w:ascii="Sylfaen" w:hAnsi="Sylfaen"/>
          <w:sz w:val="24"/>
          <w:szCs w:val="24"/>
        </w:rPr>
        <w:t xml:space="preserve">მე-12 მუხლის </w:t>
      </w:r>
      <w:r w:rsidR="009E2271">
        <w:rPr>
          <w:rFonts w:ascii="Sylfaen" w:hAnsi="Sylfaen"/>
          <w:sz w:val="24"/>
          <w:szCs w:val="24"/>
        </w:rPr>
        <w:t>1</w:t>
      </w:r>
      <w:r w:rsidR="009E2271">
        <w:rPr>
          <w:rFonts w:ascii="Sylfaen" w:hAnsi="Sylfaen"/>
          <w:sz w:val="24"/>
          <w:szCs w:val="24"/>
          <w:vertAlign w:val="superscript"/>
        </w:rPr>
        <w:t>1</w:t>
      </w:r>
      <w:r w:rsidR="009E2271">
        <w:rPr>
          <w:rFonts w:ascii="Sylfaen" w:hAnsi="Sylfaen"/>
          <w:sz w:val="24"/>
          <w:szCs w:val="24"/>
        </w:rPr>
        <w:t xml:space="preserve"> პუნქტის </w:t>
      </w:r>
      <w:r w:rsidR="00C45662" w:rsidRPr="000C625B">
        <w:rPr>
          <w:rFonts w:ascii="Sylfaen" w:hAnsi="Sylfaen"/>
          <w:sz w:val="24"/>
          <w:szCs w:val="24"/>
        </w:rPr>
        <w:t>„ე“ ქვეპუნქტზე, რომელიც კრძალავს, სამოქალაქო და სამსახურებრივ-საშტატო იარაღისთვის საბრძოლო მასალის, ჭურვის და მოწყობილობის გამოყენებას, რომელთა მახასიათებლები საქართველოს კანონმდებლობით დადგენილ მახასიათებლებს არ შეესაბამება ან/და</w:t>
      </w:r>
      <w:r w:rsidR="00BC28F3" w:rsidRPr="000C625B">
        <w:rPr>
          <w:rFonts w:ascii="Sylfaen" w:hAnsi="Sylfaen"/>
          <w:sz w:val="24"/>
          <w:szCs w:val="24"/>
        </w:rPr>
        <w:t>,</w:t>
      </w:r>
      <w:r w:rsidR="00C45662" w:rsidRPr="000C625B">
        <w:rPr>
          <w:rFonts w:ascii="Sylfaen" w:hAnsi="Sylfaen"/>
          <w:sz w:val="24"/>
          <w:szCs w:val="24"/>
        </w:rPr>
        <w:t xml:space="preserve"> რომლებიც სამოქალაქო ბრუნვიდან</w:t>
      </w:r>
      <w:r w:rsidR="00BC28F3" w:rsidRPr="000C625B">
        <w:rPr>
          <w:rFonts w:ascii="Sylfaen" w:hAnsi="Sylfaen"/>
          <w:sz w:val="24"/>
          <w:szCs w:val="24"/>
        </w:rPr>
        <w:t xml:space="preserve"> არის</w:t>
      </w:r>
      <w:r w:rsidR="00C45662" w:rsidRPr="000C625B">
        <w:rPr>
          <w:rFonts w:ascii="Sylfaen" w:hAnsi="Sylfaen"/>
          <w:sz w:val="24"/>
          <w:szCs w:val="24"/>
        </w:rPr>
        <w:t xml:space="preserve"> ამოღებული.</w:t>
      </w:r>
      <w:r w:rsidR="00C45662" w:rsidRPr="000C625B">
        <w:rPr>
          <w:rFonts w:ascii="Sylfaen" w:hAnsi="Sylfaen" w:cs="Calibri"/>
          <w:sz w:val="24"/>
          <w:szCs w:val="24"/>
        </w:rPr>
        <w:t xml:space="preserve"> მოსარჩელის შემთხვევაში, </w:t>
      </w:r>
      <w:r w:rsidR="00C45662" w:rsidRPr="000C625B">
        <w:rPr>
          <w:rFonts w:ascii="Sylfaen" w:hAnsi="Sylfaen"/>
          <w:sz w:val="24"/>
          <w:szCs w:val="24"/>
        </w:rPr>
        <w:t xml:space="preserve">ვაზნები იყო სამხედრო დანიშნულების, რაც დადასტურებულია ექპერტიზის დასკვნით და სასამართლოს გადაწყვეტილებებით. </w:t>
      </w:r>
      <w:bookmarkStart w:id="0" w:name="_Hlk180412709"/>
      <w:r w:rsidR="00C45662" w:rsidRPr="000C625B">
        <w:rPr>
          <w:rFonts w:ascii="Sylfaen" w:hAnsi="Sylfaen"/>
          <w:sz w:val="24"/>
          <w:szCs w:val="24"/>
        </w:rPr>
        <w:t xml:space="preserve">შესაბამისად, მოსარჩელის საკუთრებაში არსებული სამხედრო დანიშნულების ვაზნა იმთავითვე არ არის დაშვებული სამოქალაქო ბრუნვაში და აკრძალულია მისი თავისუფალი </w:t>
      </w:r>
      <w:proofErr w:type="spellStart"/>
      <w:r w:rsidR="00C45662" w:rsidRPr="000C625B">
        <w:rPr>
          <w:rFonts w:ascii="Sylfaen" w:hAnsi="Sylfaen"/>
          <w:sz w:val="24"/>
          <w:szCs w:val="24"/>
        </w:rPr>
        <w:t>მიმოცვლა</w:t>
      </w:r>
      <w:proofErr w:type="spellEnd"/>
      <w:r w:rsidR="00C45662" w:rsidRPr="000C625B">
        <w:rPr>
          <w:rFonts w:ascii="Sylfaen" w:hAnsi="Sylfaen"/>
          <w:sz w:val="24"/>
          <w:szCs w:val="24"/>
        </w:rPr>
        <w:t>.</w:t>
      </w:r>
      <w:bookmarkEnd w:id="0"/>
    </w:p>
    <w:p w14:paraId="06F926E5" w14:textId="1D2EE9ED" w:rsidR="002920F4" w:rsidRPr="000C625B" w:rsidRDefault="002920F4" w:rsidP="008918C8">
      <w:pPr>
        <w:numPr>
          <w:ilvl w:val="0"/>
          <w:numId w:val="1"/>
        </w:numPr>
        <w:spacing w:after="0"/>
        <w:ind w:left="0" w:firstLine="284"/>
        <w:contextualSpacing/>
        <w:jc w:val="both"/>
        <w:rPr>
          <w:rFonts w:ascii="Sylfaen" w:hAnsi="Sylfaen" w:cs="Calibri"/>
          <w:sz w:val="24"/>
          <w:szCs w:val="24"/>
        </w:rPr>
      </w:pPr>
      <w:r w:rsidRPr="000C625B">
        <w:rPr>
          <w:rFonts w:ascii="Sylfaen" w:hAnsi="Sylfaen"/>
          <w:sz w:val="24"/>
          <w:szCs w:val="24"/>
        </w:rPr>
        <w:t>თავდაცვის სამინისტროს იურიდიული დეპარტამენტის უფროსის მოადგილე ვეფხია გრიგალაშვილის განმარტების თანახმად, კანონმდებლობით აკრძალულია სამოქალაქო იარაღისა და სამხედრო სამსახურებრივი საშტატო იარაღისათვის გამოყენებულ იქნ</w:t>
      </w:r>
      <w:r w:rsidR="007B622B">
        <w:rPr>
          <w:rFonts w:ascii="Sylfaen" w:hAnsi="Sylfaen"/>
          <w:sz w:val="24"/>
          <w:szCs w:val="24"/>
        </w:rPr>
        <w:t>ე</w:t>
      </w:r>
      <w:r w:rsidRPr="000C625B">
        <w:rPr>
          <w:rFonts w:ascii="Sylfaen" w:hAnsi="Sylfaen"/>
          <w:sz w:val="24"/>
          <w:szCs w:val="24"/>
        </w:rPr>
        <w:t xml:space="preserve">ს საბრძოლო მასალა, რომელსაც </w:t>
      </w:r>
      <w:proofErr w:type="spellStart"/>
      <w:r w:rsidRPr="000C625B">
        <w:rPr>
          <w:rFonts w:ascii="Sylfaen" w:hAnsi="Sylfaen"/>
          <w:sz w:val="24"/>
          <w:szCs w:val="24"/>
        </w:rPr>
        <w:t>ჯავშანგამტარი</w:t>
      </w:r>
      <w:proofErr w:type="spellEnd"/>
      <w:r w:rsidRPr="000C625B">
        <w:rPr>
          <w:rFonts w:ascii="Sylfaen" w:hAnsi="Sylfaen"/>
          <w:sz w:val="24"/>
          <w:szCs w:val="24"/>
        </w:rPr>
        <w:t xml:space="preserve">, ცეცხლგამჩენი, </w:t>
      </w:r>
      <w:proofErr w:type="spellStart"/>
      <w:r w:rsidRPr="000C625B">
        <w:rPr>
          <w:rFonts w:ascii="Sylfaen" w:hAnsi="Sylfaen"/>
          <w:sz w:val="24"/>
          <w:szCs w:val="24"/>
        </w:rPr>
        <w:t>აფეთქებითი</w:t>
      </w:r>
      <w:proofErr w:type="spellEnd"/>
      <w:r w:rsidRPr="000C625B">
        <w:rPr>
          <w:rFonts w:ascii="Sylfaen" w:hAnsi="Sylfaen"/>
          <w:sz w:val="24"/>
          <w:szCs w:val="24"/>
        </w:rPr>
        <w:t xml:space="preserve">, </w:t>
      </w:r>
      <w:proofErr w:type="spellStart"/>
      <w:r w:rsidRPr="000C625B">
        <w:rPr>
          <w:rFonts w:ascii="Sylfaen" w:hAnsi="Sylfaen"/>
          <w:sz w:val="24"/>
          <w:szCs w:val="24"/>
        </w:rPr>
        <w:t>ტრასირებული</w:t>
      </w:r>
      <w:proofErr w:type="spellEnd"/>
      <w:r w:rsidRPr="000C625B">
        <w:rPr>
          <w:rFonts w:ascii="Sylfaen" w:hAnsi="Sylfaen"/>
          <w:sz w:val="24"/>
          <w:szCs w:val="24"/>
        </w:rPr>
        <w:t xml:space="preserve"> მოქმედების ძალა აქვს, ასევე, საბრძოლო მასალა, რომელიც განკუთვნილია ისეთი იარაღისათვის, რომელიც სამოქალაქო ბრუნვაში დაშვებული არ არის და საბრძოლო მასალა, რომელიც სამოქალაქო ბრუნვიდან გახლავთ ამოღებული. ის</w:t>
      </w:r>
      <w:r w:rsidR="007B622B">
        <w:rPr>
          <w:rFonts w:ascii="Sylfaen" w:hAnsi="Sylfaen"/>
          <w:sz w:val="24"/>
          <w:szCs w:val="24"/>
        </w:rPr>
        <w:t>,</w:t>
      </w:r>
      <w:r w:rsidRPr="000C625B">
        <w:rPr>
          <w:rFonts w:ascii="Sylfaen" w:hAnsi="Sylfaen"/>
          <w:sz w:val="24"/>
          <w:szCs w:val="24"/>
        </w:rPr>
        <w:t xml:space="preserve"> თუ რა წარმოადგენს საბრძოლო მასალას და სამხედრო პროდუქციას, განსაზღვრავს საქართველოს მთავრობის </w:t>
      </w:r>
      <w:r w:rsidRPr="000C625B">
        <w:rPr>
          <w:rFonts w:ascii="Sylfaen" w:hAnsi="Sylfaen" w:cs="Calibri"/>
          <w:sz w:val="24"/>
          <w:szCs w:val="24"/>
        </w:rPr>
        <w:t>№</w:t>
      </w:r>
      <w:r w:rsidRPr="000C625B">
        <w:rPr>
          <w:rFonts w:ascii="Sylfaen" w:hAnsi="Sylfaen"/>
          <w:sz w:val="24"/>
          <w:szCs w:val="24"/>
        </w:rPr>
        <w:t>394 დადგენილება</w:t>
      </w:r>
      <w:r w:rsidR="00BC28F3" w:rsidRPr="000C625B">
        <w:rPr>
          <w:rFonts w:ascii="Sylfaen" w:hAnsi="Sylfaen"/>
          <w:sz w:val="24"/>
          <w:szCs w:val="24"/>
        </w:rPr>
        <w:t xml:space="preserve"> „სამხედრო და ორმაგი დანიშნულების პროდუქციის ნუსხების დამტკიცების შესახებ</w:t>
      </w:r>
      <w:r w:rsidR="00C75289" w:rsidRPr="000C625B">
        <w:rPr>
          <w:rFonts w:ascii="Sylfaen" w:hAnsi="Sylfaen"/>
          <w:sz w:val="24"/>
          <w:szCs w:val="24"/>
        </w:rPr>
        <w:t>“</w:t>
      </w:r>
      <w:r w:rsidRPr="000C625B">
        <w:rPr>
          <w:rFonts w:ascii="Sylfaen" w:hAnsi="Sylfaen"/>
          <w:sz w:val="24"/>
          <w:szCs w:val="24"/>
        </w:rPr>
        <w:t>, რომლით</w:t>
      </w:r>
      <w:r w:rsidR="00C75289" w:rsidRPr="000C625B">
        <w:rPr>
          <w:rFonts w:ascii="Sylfaen" w:hAnsi="Sylfaen"/>
          <w:sz w:val="24"/>
          <w:szCs w:val="24"/>
        </w:rPr>
        <w:t>აც განისაზღვრება</w:t>
      </w:r>
      <w:r w:rsidRPr="000C625B">
        <w:rPr>
          <w:rFonts w:ascii="Sylfaen" w:hAnsi="Sylfaen"/>
          <w:sz w:val="24"/>
          <w:szCs w:val="24"/>
        </w:rPr>
        <w:t xml:space="preserve"> სამხედრო პროდუქციის ნუსხა. მოწმის მითითებით, </w:t>
      </w:r>
      <w:r w:rsidR="003153CF" w:rsidRPr="000C625B">
        <w:rPr>
          <w:rFonts w:ascii="Sylfaen" w:hAnsi="Sylfaen"/>
          <w:sz w:val="24"/>
          <w:szCs w:val="24"/>
        </w:rPr>
        <w:t xml:space="preserve">მოსარჩელის წარმომადგენლის მიერ </w:t>
      </w:r>
      <w:r w:rsidRPr="000C625B">
        <w:rPr>
          <w:rFonts w:ascii="Sylfaen" w:hAnsi="Sylfaen"/>
          <w:sz w:val="24"/>
          <w:szCs w:val="24"/>
        </w:rPr>
        <w:t xml:space="preserve">იარაღის მაღაზიაში </w:t>
      </w:r>
      <w:r w:rsidR="003153CF" w:rsidRPr="000C625B">
        <w:rPr>
          <w:rFonts w:ascii="Sylfaen" w:hAnsi="Sylfaen"/>
          <w:sz w:val="24"/>
          <w:szCs w:val="24"/>
        </w:rPr>
        <w:t>შეძენილი ვაზნა წარმოადგენს</w:t>
      </w:r>
      <w:r w:rsidRPr="000C625B">
        <w:rPr>
          <w:rFonts w:ascii="Sylfaen" w:hAnsi="Sylfaen"/>
          <w:sz w:val="24"/>
          <w:szCs w:val="24"/>
        </w:rPr>
        <w:t xml:space="preserve"> სამოქალაქო ვაზნ</w:t>
      </w:r>
      <w:r w:rsidR="003153CF" w:rsidRPr="000C625B">
        <w:rPr>
          <w:rFonts w:ascii="Sylfaen" w:hAnsi="Sylfaen"/>
          <w:sz w:val="24"/>
          <w:szCs w:val="24"/>
        </w:rPr>
        <w:t>ას</w:t>
      </w:r>
      <w:r w:rsidRPr="000C625B">
        <w:rPr>
          <w:rFonts w:ascii="Sylfaen" w:hAnsi="Sylfaen"/>
          <w:sz w:val="24"/>
          <w:szCs w:val="24"/>
        </w:rPr>
        <w:t>, რომელიც არ განეკუთვნება სამხედრო პროდუქციის კატეგორიას.</w:t>
      </w:r>
    </w:p>
    <w:p w14:paraId="1F55D8BD" w14:textId="322115AA" w:rsidR="006261FD" w:rsidRPr="000C625B" w:rsidRDefault="00EB0661" w:rsidP="006261FD">
      <w:pPr>
        <w:numPr>
          <w:ilvl w:val="0"/>
          <w:numId w:val="1"/>
        </w:numPr>
        <w:spacing w:after="0"/>
        <w:ind w:left="0" w:firstLine="284"/>
        <w:contextualSpacing/>
        <w:jc w:val="both"/>
        <w:rPr>
          <w:rFonts w:ascii="Sylfaen" w:hAnsi="Sylfaen" w:cs="Calibri"/>
          <w:sz w:val="24"/>
          <w:szCs w:val="24"/>
        </w:rPr>
      </w:pPr>
      <w:r w:rsidRPr="000C625B">
        <w:rPr>
          <w:rFonts w:ascii="Sylfaen" w:hAnsi="Sylfaen"/>
          <w:sz w:val="24"/>
          <w:szCs w:val="24"/>
        </w:rPr>
        <w:t xml:space="preserve">სამხედრო ტექნიკურ საკითხთა დეპარტამენტის ლიცენზიებისა და ნებართვების სამმართველოს უფროსი ვასილ </w:t>
      </w:r>
      <w:proofErr w:type="spellStart"/>
      <w:r w:rsidRPr="000C625B">
        <w:rPr>
          <w:rFonts w:ascii="Sylfaen" w:hAnsi="Sylfaen"/>
          <w:sz w:val="24"/>
          <w:szCs w:val="24"/>
        </w:rPr>
        <w:t>მოდრეკელიძ</w:t>
      </w:r>
      <w:r w:rsidR="007B622B">
        <w:rPr>
          <w:rFonts w:ascii="Sylfaen" w:hAnsi="Sylfaen"/>
          <w:sz w:val="24"/>
          <w:szCs w:val="24"/>
        </w:rPr>
        <w:t>ი</w:t>
      </w:r>
      <w:r w:rsidRPr="000C625B">
        <w:rPr>
          <w:rFonts w:ascii="Sylfaen" w:hAnsi="Sylfaen"/>
          <w:sz w:val="24"/>
          <w:szCs w:val="24"/>
        </w:rPr>
        <w:t>ს</w:t>
      </w:r>
      <w:proofErr w:type="spellEnd"/>
      <w:r w:rsidRPr="000C625B">
        <w:rPr>
          <w:rFonts w:ascii="Sylfaen" w:hAnsi="Sylfaen"/>
          <w:sz w:val="24"/>
          <w:szCs w:val="24"/>
        </w:rPr>
        <w:t xml:space="preserve"> განმარტებ</w:t>
      </w:r>
      <w:r w:rsidR="00DC36FC" w:rsidRPr="000C625B">
        <w:rPr>
          <w:rFonts w:ascii="Sylfaen" w:hAnsi="Sylfaen"/>
          <w:sz w:val="24"/>
          <w:szCs w:val="24"/>
        </w:rPr>
        <w:t xml:space="preserve">ით, </w:t>
      </w:r>
      <w:r w:rsidR="006261FD" w:rsidRPr="000C625B">
        <w:rPr>
          <w:rFonts w:ascii="Sylfaen" w:hAnsi="Sylfaen"/>
          <w:sz w:val="24"/>
          <w:szCs w:val="24"/>
        </w:rPr>
        <w:t xml:space="preserve">კონკრეტულ პროდუქციაზე ნებართვების გაცემის შემთხვევაში, ხდება </w:t>
      </w:r>
      <w:r w:rsidR="006261FD" w:rsidRPr="000C625B">
        <w:rPr>
          <w:rFonts w:ascii="Sylfaen" w:hAnsi="Sylfaen"/>
          <w:sz w:val="24"/>
          <w:szCs w:val="24"/>
        </w:rPr>
        <w:lastRenderedPageBreak/>
        <w:t>პროდუქციის დოკუმენტალურად კვლევა და შემოწმება, აღნიშნულის შემდეგ კი გაიცემა ნებართვა. ლიცენზიებისა და ნებართვების სამმართველო პროდუქტს ფიზიკურად არ ნახულობს, მოწმდება თუ მწარმოებლის მიერ აღნიშნულ პროდუქციას რა სტატუსი და კატეგორია აქვს მინიჭებული, შესაბამისად</w:t>
      </w:r>
      <w:r w:rsidR="0035082A">
        <w:rPr>
          <w:rFonts w:ascii="Sylfaen" w:hAnsi="Sylfaen"/>
          <w:sz w:val="24"/>
          <w:szCs w:val="24"/>
        </w:rPr>
        <w:t>,</w:t>
      </w:r>
      <w:r w:rsidR="006261FD" w:rsidRPr="000C625B">
        <w:rPr>
          <w:rFonts w:ascii="Sylfaen" w:hAnsi="Sylfaen"/>
          <w:sz w:val="24"/>
          <w:szCs w:val="24"/>
        </w:rPr>
        <w:t xml:space="preserve"> დგინდება პროდუქცია სამოქალაქო თუ სამხედრო პროდუქციას წარმოადგენს.</w:t>
      </w:r>
    </w:p>
    <w:p w14:paraId="3B689151" w14:textId="40CB49BE" w:rsidR="00BF456E" w:rsidRPr="000C625B" w:rsidRDefault="006261FD" w:rsidP="00BF456E">
      <w:pPr>
        <w:numPr>
          <w:ilvl w:val="0"/>
          <w:numId w:val="1"/>
        </w:numPr>
        <w:spacing w:after="0"/>
        <w:ind w:left="0" w:firstLine="284"/>
        <w:contextualSpacing/>
        <w:jc w:val="both"/>
        <w:rPr>
          <w:rFonts w:ascii="Sylfaen" w:hAnsi="Sylfaen" w:cs="Calibri"/>
          <w:sz w:val="24"/>
          <w:szCs w:val="24"/>
        </w:rPr>
      </w:pPr>
      <w:r w:rsidRPr="000C625B">
        <w:rPr>
          <w:rFonts w:ascii="Sylfaen" w:hAnsi="Sylfaen"/>
          <w:sz w:val="24"/>
          <w:szCs w:val="24"/>
        </w:rPr>
        <w:t>საქართველოს</w:t>
      </w:r>
      <w:r w:rsidRPr="000C625B">
        <w:rPr>
          <w:rFonts w:ascii="Sylfaen" w:hAnsi="Sylfaen"/>
          <w:bCs/>
          <w:sz w:val="20"/>
          <w:szCs w:val="20"/>
        </w:rPr>
        <w:t xml:space="preserve"> </w:t>
      </w:r>
      <w:r w:rsidRPr="000C625B">
        <w:rPr>
          <w:rFonts w:ascii="Sylfaen" w:hAnsi="Sylfaen"/>
          <w:bCs/>
          <w:sz w:val="24"/>
          <w:szCs w:val="24"/>
        </w:rPr>
        <w:t xml:space="preserve">თავდაცვის ძალების გენერალური შტაბის J-4 </w:t>
      </w:r>
      <w:proofErr w:type="spellStart"/>
      <w:r w:rsidRPr="000C625B">
        <w:rPr>
          <w:rFonts w:ascii="Sylfaen" w:hAnsi="Sylfaen"/>
          <w:bCs/>
          <w:sz w:val="24"/>
          <w:szCs w:val="24"/>
        </w:rPr>
        <w:t>ლოჯისტიკის</w:t>
      </w:r>
      <w:proofErr w:type="spellEnd"/>
      <w:r w:rsidRPr="000C625B">
        <w:rPr>
          <w:rFonts w:ascii="Sylfaen" w:hAnsi="Sylfaen"/>
          <w:bCs/>
          <w:sz w:val="24"/>
          <w:szCs w:val="24"/>
        </w:rPr>
        <w:t xml:space="preserve"> დაგეგმვის დეპარტამენტის შეიარაღების ტექნიკისა და საბრძოლო მასალების დაგეგმვის სამმართველოს საბრძოლო მასალების დაგეგმვის განყოფილების უფროსი</w:t>
      </w:r>
      <w:r w:rsidRPr="000C625B">
        <w:rPr>
          <w:rFonts w:ascii="Sylfaen" w:hAnsi="Sylfaen"/>
          <w:b/>
          <w:bCs/>
          <w:sz w:val="20"/>
          <w:szCs w:val="20"/>
        </w:rPr>
        <w:t xml:space="preserve"> </w:t>
      </w:r>
      <w:r w:rsidRPr="000C625B">
        <w:rPr>
          <w:rFonts w:ascii="Sylfaen" w:hAnsi="Sylfaen"/>
          <w:sz w:val="24"/>
          <w:szCs w:val="24"/>
        </w:rPr>
        <w:t>ბესიკ ლაზარიაშვილის განმარტები</w:t>
      </w:r>
      <w:r w:rsidR="00BC28F3" w:rsidRPr="000C625B">
        <w:rPr>
          <w:rFonts w:ascii="Sylfaen" w:hAnsi="Sylfaen"/>
          <w:sz w:val="24"/>
          <w:szCs w:val="24"/>
        </w:rPr>
        <w:t>ს</w:t>
      </w:r>
      <w:r w:rsidRPr="000C625B">
        <w:rPr>
          <w:rFonts w:ascii="Sylfaen" w:hAnsi="Sylfaen"/>
          <w:sz w:val="24"/>
          <w:szCs w:val="24"/>
        </w:rPr>
        <w:t xml:space="preserve"> მიხედვით, ფოლადის </w:t>
      </w:r>
      <w:proofErr w:type="spellStart"/>
      <w:r w:rsidRPr="000C625B">
        <w:rPr>
          <w:rFonts w:ascii="Sylfaen" w:hAnsi="Sylfaen"/>
          <w:sz w:val="24"/>
          <w:szCs w:val="24"/>
        </w:rPr>
        <w:t>გულ</w:t>
      </w:r>
      <w:r w:rsidR="002D5BD9" w:rsidRPr="000C625B">
        <w:rPr>
          <w:rFonts w:ascii="Sylfaen" w:hAnsi="Sylfaen"/>
          <w:sz w:val="24"/>
          <w:szCs w:val="24"/>
        </w:rPr>
        <w:t>არიანი</w:t>
      </w:r>
      <w:proofErr w:type="spellEnd"/>
      <w:r w:rsidR="002D5BD9" w:rsidRPr="000C625B">
        <w:rPr>
          <w:rFonts w:ascii="Sylfaen" w:hAnsi="Sylfaen"/>
          <w:sz w:val="24"/>
          <w:szCs w:val="24"/>
        </w:rPr>
        <w:t xml:space="preserve"> </w:t>
      </w:r>
      <w:r w:rsidRPr="000C625B">
        <w:rPr>
          <w:rFonts w:ascii="Sylfaen" w:hAnsi="Sylfaen"/>
          <w:sz w:val="24"/>
          <w:szCs w:val="24"/>
        </w:rPr>
        <w:t>ტყვია ხასიათდება შედარებით მეტი გამტანობით და მეტ სიშორეზე ფრენით, რამაც შეიძლება გამოიწვიოს ნადირობის დროს უბედური შემთხვევა, ნადირისთვის აცილების ან თუნდაც ნადირის გახვრეტის შემდეგ ამგვარ ტყვიას აქვს მეტი უნარი გააგრძელოს მოძრაობა.</w:t>
      </w:r>
      <w:r w:rsidR="002D5BD9" w:rsidRPr="000C625B">
        <w:rPr>
          <w:rFonts w:ascii="Sylfaen" w:hAnsi="Sylfaen"/>
          <w:sz w:val="24"/>
          <w:szCs w:val="24"/>
        </w:rPr>
        <w:t xml:space="preserve"> სამხედრო დანიშნულება განისაზღვრება ვაზნის დანიშნულებით და ტექნიკური მახასიათებლებით. 1943 წლის ნიმუშის ვაზნები შეიქმნა, როგორც ვაზნების ჯგუფი, რომელშიც შედიოდა </w:t>
      </w:r>
      <w:proofErr w:type="spellStart"/>
      <w:r w:rsidR="009D1B75" w:rsidRPr="000C625B">
        <w:rPr>
          <w:rFonts w:ascii="Sylfaen" w:hAnsi="Sylfaen"/>
          <w:sz w:val="24"/>
          <w:szCs w:val="24"/>
        </w:rPr>
        <w:t>ჯავშანგამტარი</w:t>
      </w:r>
      <w:proofErr w:type="spellEnd"/>
      <w:r w:rsidR="002D5BD9" w:rsidRPr="000C625B">
        <w:rPr>
          <w:rFonts w:ascii="Sylfaen" w:hAnsi="Sylfaen"/>
          <w:sz w:val="24"/>
          <w:szCs w:val="24"/>
        </w:rPr>
        <w:t xml:space="preserve">, </w:t>
      </w:r>
      <w:proofErr w:type="spellStart"/>
      <w:r w:rsidR="009D1B75" w:rsidRPr="000C625B">
        <w:rPr>
          <w:rFonts w:ascii="Sylfaen" w:hAnsi="Sylfaen"/>
          <w:sz w:val="24"/>
          <w:szCs w:val="24"/>
        </w:rPr>
        <w:t>ტრასირებადი</w:t>
      </w:r>
      <w:proofErr w:type="spellEnd"/>
      <w:r w:rsidR="002D5BD9" w:rsidRPr="000C625B">
        <w:rPr>
          <w:rFonts w:ascii="Sylfaen" w:hAnsi="Sylfaen"/>
          <w:sz w:val="24"/>
          <w:szCs w:val="24"/>
        </w:rPr>
        <w:t xml:space="preserve">, ფოლადის </w:t>
      </w:r>
      <w:proofErr w:type="spellStart"/>
      <w:r w:rsidR="002D5BD9" w:rsidRPr="000C625B">
        <w:rPr>
          <w:rFonts w:ascii="Sylfaen" w:hAnsi="Sylfaen"/>
          <w:sz w:val="24"/>
          <w:szCs w:val="24"/>
        </w:rPr>
        <w:t>გულარიანი</w:t>
      </w:r>
      <w:proofErr w:type="spellEnd"/>
      <w:r w:rsidR="002D5BD9" w:rsidRPr="000C625B">
        <w:rPr>
          <w:rFonts w:ascii="Sylfaen" w:hAnsi="Sylfaen"/>
          <w:sz w:val="24"/>
          <w:szCs w:val="24"/>
        </w:rPr>
        <w:t xml:space="preserve"> ვაზნა, </w:t>
      </w:r>
      <w:r w:rsidR="00BC28F3" w:rsidRPr="000C625B">
        <w:rPr>
          <w:rFonts w:ascii="Sylfaen" w:hAnsi="Sylfaen"/>
          <w:sz w:val="24"/>
          <w:szCs w:val="24"/>
        </w:rPr>
        <w:t>აღნიშნული ვაზნები</w:t>
      </w:r>
      <w:r w:rsidR="009D1B75" w:rsidRPr="000C625B">
        <w:rPr>
          <w:rFonts w:ascii="Sylfaen" w:hAnsi="Sylfaen"/>
          <w:sz w:val="24"/>
          <w:szCs w:val="24"/>
        </w:rPr>
        <w:t xml:space="preserve"> სპეციალურად შეიქმნა სამხედრო დანიშნულების იარაღში გამოსაყენებლად და </w:t>
      </w:r>
      <w:r w:rsidR="00BC28F3" w:rsidRPr="000C625B">
        <w:rPr>
          <w:rFonts w:ascii="Sylfaen" w:hAnsi="Sylfaen"/>
          <w:sz w:val="24"/>
          <w:szCs w:val="24"/>
        </w:rPr>
        <w:t xml:space="preserve">საქართველოს მთავრობის </w:t>
      </w:r>
      <w:r w:rsidR="00BC28F3" w:rsidRPr="000C625B">
        <w:rPr>
          <w:rFonts w:ascii="Sylfaen" w:hAnsi="Sylfaen" w:cs="Calibri"/>
          <w:sz w:val="24"/>
          <w:szCs w:val="24"/>
        </w:rPr>
        <w:t>№</w:t>
      </w:r>
      <w:r w:rsidR="00BC28F3" w:rsidRPr="000C625B">
        <w:rPr>
          <w:rFonts w:ascii="Sylfaen" w:hAnsi="Sylfaen"/>
          <w:sz w:val="24"/>
          <w:szCs w:val="24"/>
        </w:rPr>
        <w:t>394</w:t>
      </w:r>
      <w:r w:rsidR="002D5BD9" w:rsidRPr="000C625B">
        <w:rPr>
          <w:rFonts w:ascii="Sylfaen" w:hAnsi="Sylfaen"/>
          <w:sz w:val="24"/>
          <w:szCs w:val="24"/>
        </w:rPr>
        <w:t xml:space="preserve"> დადგენილებიდან გამომდინარე, </w:t>
      </w:r>
      <w:r w:rsidR="009D1B75" w:rsidRPr="000C625B">
        <w:rPr>
          <w:rFonts w:ascii="Sylfaen" w:hAnsi="Sylfaen"/>
          <w:sz w:val="24"/>
          <w:szCs w:val="24"/>
        </w:rPr>
        <w:t>მიიჩნევა, რომ მას აქვს</w:t>
      </w:r>
      <w:r w:rsidR="002D5BD9" w:rsidRPr="000C625B">
        <w:rPr>
          <w:rFonts w:ascii="Sylfaen" w:hAnsi="Sylfaen"/>
          <w:sz w:val="24"/>
          <w:szCs w:val="24"/>
        </w:rPr>
        <w:t xml:space="preserve"> სამხედრო დანიშნულებ</w:t>
      </w:r>
      <w:r w:rsidR="009D1B75" w:rsidRPr="000C625B">
        <w:rPr>
          <w:rFonts w:ascii="Sylfaen" w:hAnsi="Sylfaen"/>
          <w:sz w:val="24"/>
          <w:szCs w:val="24"/>
        </w:rPr>
        <w:t>ა</w:t>
      </w:r>
      <w:r w:rsidR="002D5BD9" w:rsidRPr="000C625B">
        <w:rPr>
          <w:rFonts w:ascii="Sylfaen" w:hAnsi="Sylfaen"/>
          <w:sz w:val="24"/>
          <w:szCs w:val="24"/>
        </w:rPr>
        <w:t>.</w:t>
      </w:r>
    </w:p>
    <w:p w14:paraId="359BB548" w14:textId="35E0FD3D" w:rsidR="008C16FD" w:rsidRPr="000C625B" w:rsidRDefault="008C16FD" w:rsidP="00BF456E">
      <w:pPr>
        <w:numPr>
          <w:ilvl w:val="0"/>
          <w:numId w:val="1"/>
        </w:numPr>
        <w:spacing w:after="0"/>
        <w:ind w:left="0" w:firstLine="284"/>
        <w:contextualSpacing/>
        <w:jc w:val="both"/>
        <w:rPr>
          <w:rFonts w:ascii="Sylfaen" w:hAnsi="Sylfaen" w:cs="Calibri"/>
          <w:sz w:val="24"/>
          <w:szCs w:val="24"/>
        </w:rPr>
      </w:pPr>
      <w:r w:rsidRPr="000C625B">
        <w:rPr>
          <w:rFonts w:ascii="Sylfaen" w:hAnsi="Sylfaen"/>
          <w:sz w:val="24"/>
          <w:szCs w:val="24"/>
        </w:rPr>
        <w:t>საქართველოს შინაგან საქმეთა სამინისტროს მომსახურების სააგენტოს იურიდიულ</w:t>
      </w:r>
      <w:r w:rsidR="0035082A">
        <w:rPr>
          <w:rFonts w:ascii="Sylfaen" w:hAnsi="Sylfaen"/>
          <w:sz w:val="24"/>
          <w:szCs w:val="24"/>
        </w:rPr>
        <w:t>ი</w:t>
      </w:r>
      <w:r w:rsidRPr="000C625B">
        <w:rPr>
          <w:rFonts w:ascii="Sylfaen" w:hAnsi="Sylfaen"/>
          <w:sz w:val="24"/>
          <w:szCs w:val="24"/>
        </w:rPr>
        <w:t xml:space="preserve"> სამმართველოს უფროსი</w:t>
      </w:r>
      <w:r w:rsidR="0035082A">
        <w:rPr>
          <w:rFonts w:ascii="Sylfaen" w:hAnsi="Sylfaen"/>
          <w:sz w:val="24"/>
          <w:szCs w:val="24"/>
        </w:rPr>
        <w:t>ს</w:t>
      </w:r>
      <w:r w:rsidRPr="000C625B">
        <w:rPr>
          <w:rFonts w:ascii="Sylfaen" w:hAnsi="Sylfaen"/>
          <w:sz w:val="24"/>
          <w:szCs w:val="24"/>
        </w:rPr>
        <w:t xml:space="preserve"> თინათინ </w:t>
      </w:r>
      <w:proofErr w:type="spellStart"/>
      <w:r w:rsidRPr="000C625B">
        <w:rPr>
          <w:rFonts w:ascii="Sylfaen" w:hAnsi="Sylfaen"/>
          <w:sz w:val="24"/>
          <w:szCs w:val="24"/>
        </w:rPr>
        <w:t>ქვაცბაიას</w:t>
      </w:r>
      <w:proofErr w:type="spellEnd"/>
      <w:r w:rsidRPr="000C625B">
        <w:rPr>
          <w:rFonts w:ascii="Sylfaen" w:hAnsi="Sylfaen"/>
          <w:sz w:val="24"/>
          <w:szCs w:val="24"/>
        </w:rPr>
        <w:t xml:space="preserve"> განმარტების მიხედვით, </w:t>
      </w:r>
      <w:r w:rsidR="00BF456E" w:rsidRPr="000C625B">
        <w:rPr>
          <w:rFonts w:ascii="Sylfaen" w:hAnsi="Sylfaen"/>
          <w:sz w:val="24"/>
          <w:szCs w:val="24"/>
        </w:rPr>
        <w:t xml:space="preserve">საქართველოს მოქალაქის მიერ სამოქალაქო ცეცხლსასროლი იარაღის, მისი ძირითადი ელემენტების ან/და საბრძოლო მასალის საქართველოში შემოტანის ნებართვის გაცემასთან დაკავშირებით, გარდა ტრანზიტისა და </w:t>
      </w:r>
      <w:r w:rsidR="0035082A">
        <w:rPr>
          <w:rFonts w:ascii="Sylfaen" w:hAnsi="Sylfaen"/>
          <w:sz w:val="24"/>
          <w:szCs w:val="24"/>
        </w:rPr>
        <w:t xml:space="preserve">დოკუმენტების </w:t>
      </w:r>
      <w:r w:rsidR="00BF456E" w:rsidRPr="000C625B">
        <w:rPr>
          <w:rFonts w:ascii="Sylfaen" w:hAnsi="Sylfaen"/>
          <w:sz w:val="24"/>
          <w:szCs w:val="24"/>
        </w:rPr>
        <w:t>ექსპორტისა, პირი წარმოადგენს ჯანმრთელობის მდგომარეობის შესახებ ცნობას</w:t>
      </w:r>
      <w:r w:rsidR="00C75289" w:rsidRPr="000C625B">
        <w:rPr>
          <w:rFonts w:ascii="Sylfaen" w:hAnsi="Sylfaen"/>
          <w:sz w:val="24"/>
          <w:szCs w:val="24"/>
        </w:rPr>
        <w:t xml:space="preserve"> და</w:t>
      </w:r>
      <w:r w:rsidR="00BF456E" w:rsidRPr="000C625B">
        <w:rPr>
          <w:rFonts w:ascii="Sylfaen" w:hAnsi="Sylfaen"/>
          <w:sz w:val="24"/>
          <w:szCs w:val="24"/>
        </w:rPr>
        <w:t xml:space="preserve"> განცხადებას, რომ </w:t>
      </w:r>
      <w:r w:rsidR="00C75289" w:rsidRPr="000C625B">
        <w:rPr>
          <w:rFonts w:ascii="Sylfaen" w:hAnsi="Sylfaen"/>
          <w:sz w:val="24"/>
          <w:szCs w:val="24"/>
        </w:rPr>
        <w:t>შეიძინა</w:t>
      </w:r>
      <w:r w:rsidR="00BF456E" w:rsidRPr="000C625B">
        <w:rPr>
          <w:rFonts w:ascii="Sylfaen" w:hAnsi="Sylfaen"/>
          <w:sz w:val="24"/>
          <w:szCs w:val="24"/>
        </w:rPr>
        <w:t xml:space="preserve"> სამოქალაქო ბრუნვაში დაშვებულ</w:t>
      </w:r>
      <w:r w:rsidR="00C75289" w:rsidRPr="000C625B">
        <w:rPr>
          <w:rFonts w:ascii="Sylfaen" w:hAnsi="Sylfaen"/>
          <w:sz w:val="24"/>
          <w:szCs w:val="24"/>
        </w:rPr>
        <w:t>ი</w:t>
      </w:r>
      <w:r w:rsidR="00BF456E" w:rsidRPr="000C625B">
        <w:rPr>
          <w:rFonts w:ascii="Sylfaen" w:hAnsi="Sylfaen"/>
          <w:sz w:val="24"/>
          <w:szCs w:val="24"/>
        </w:rPr>
        <w:t xml:space="preserve"> იარაღ</w:t>
      </w:r>
      <w:r w:rsidR="00C75289" w:rsidRPr="000C625B">
        <w:rPr>
          <w:rFonts w:ascii="Sylfaen" w:hAnsi="Sylfaen"/>
          <w:sz w:val="24"/>
          <w:szCs w:val="24"/>
        </w:rPr>
        <w:t>ი</w:t>
      </w:r>
      <w:r w:rsidR="00BF456E" w:rsidRPr="000C625B">
        <w:rPr>
          <w:rFonts w:ascii="Sylfaen" w:hAnsi="Sylfaen"/>
          <w:sz w:val="24"/>
          <w:szCs w:val="24"/>
        </w:rPr>
        <w:t>. სამოქალაქო ბრუნვაში დაშვებულ</w:t>
      </w:r>
      <w:r w:rsidR="0035082A">
        <w:rPr>
          <w:rFonts w:ascii="Sylfaen" w:hAnsi="Sylfaen"/>
          <w:sz w:val="24"/>
          <w:szCs w:val="24"/>
        </w:rPr>
        <w:t>ი</w:t>
      </w:r>
      <w:r w:rsidR="00BF456E" w:rsidRPr="000C625B">
        <w:rPr>
          <w:rFonts w:ascii="Sylfaen" w:hAnsi="Sylfaen"/>
          <w:sz w:val="24"/>
          <w:szCs w:val="24"/>
        </w:rPr>
        <w:t xml:space="preserve"> იარაღ</w:t>
      </w:r>
      <w:r w:rsidR="00C75289" w:rsidRPr="000C625B">
        <w:rPr>
          <w:rFonts w:ascii="Sylfaen" w:hAnsi="Sylfaen"/>
          <w:sz w:val="24"/>
          <w:szCs w:val="24"/>
        </w:rPr>
        <w:t>ის</w:t>
      </w:r>
      <w:r w:rsidR="00BF456E" w:rsidRPr="000C625B">
        <w:rPr>
          <w:rFonts w:ascii="Sylfaen" w:hAnsi="Sylfaen"/>
          <w:sz w:val="24"/>
          <w:szCs w:val="24"/>
        </w:rPr>
        <w:t xml:space="preserve"> განმარტებას კანონ</w:t>
      </w:r>
      <w:r w:rsidR="00C75289" w:rsidRPr="000C625B">
        <w:rPr>
          <w:rFonts w:ascii="Sylfaen" w:hAnsi="Sylfaen"/>
          <w:sz w:val="24"/>
          <w:szCs w:val="24"/>
        </w:rPr>
        <w:t>მდებლობა განსაზღვრავს, რომელიც</w:t>
      </w:r>
      <w:r w:rsidR="00BF456E" w:rsidRPr="000C625B">
        <w:rPr>
          <w:rFonts w:ascii="Sylfaen" w:hAnsi="Sylfaen"/>
          <w:sz w:val="24"/>
          <w:szCs w:val="24"/>
        </w:rPr>
        <w:t xml:space="preserve"> </w:t>
      </w:r>
      <w:r w:rsidR="00C75289" w:rsidRPr="000C625B">
        <w:rPr>
          <w:rFonts w:ascii="Sylfaen" w:hAnsi="Sylfaen"/>
          <w:sz w:val="24"/>
          <w:szCs w:val="24"/>
        </w:rPr>
        <w:t>ადგენს, რომ კონკრეტული იარაღი გამოიყენება</w:t>
      </w:r>
      <w:r w:rsidR="00BF456E" w:rsidRPr="000C625B">
        <w:rPr>
          <w:rFonts w:ascii="Sylfaen" w:hAnsi="Sylfaen"/>
          <w:sz w:val="24"/>
          <w:szCs w:val="24"/>
        </w:rPr>
        <w:t xml:space="preserve"> თავდაცვის</w:t>
      </w:r>
      <w:r w:rsidR="00C75289" w:rsidRPr="000C625B">
        <w:rPr>
          <w:rFonts w:ascii="Sylfaen" w:hAnsi="Sylfaen"/>
          <w:sz w:val="24"/>
          <w:szCs w:val="24"/>
        </w:rPr>
        <w:t xml:space="preserve"> თუ</w:t>
      </w:r>
      <w:r w:rsidR="00BF456E" w:rsidRPr="000C625B">
        <w:rPr>
          <w:rFonts w:ascii="Sylfaen" w:hAnsi="Sylfaen"/>
          <w:sz w:val="24"/>
          <w:szCs w:val="24"/>
        </w:rPr>
        <w:t xml:space="preserve"> სანადირო მიზნისთვის.</w:t>
      </w:r>
      <w:r w:rsidR="00BF456E" w:rsidRPr="000C625B">
        <w:rPr>
          <w:rFonts w:ascii="Sylfaen" w:hAnsi="Sylfaen" w:cs="Calibri"/>
          <w:sz w:val="24"/>
          <w:szCs w:val="24"/>
        </w:rPr>
        <w:t xml:space="preserve"> </w:t>
      </w:r>
      <w:r w:rsidR="00C75289" w:rsidRPr="000C625B">
        <w:rPr>
          <w:rFonts w:ascii="Sylfaen" w:hAnsi="Sylfaen"/>
          <w:sz w:val="24"/>
          <w:szCs w:val="24"/>
        </w:rPr>
        <w:t>ვაზნების შემოტანის შემთხვევაში</w:t>
      </w:r>
      <w:r w:rsidR="009A2C20">
        <w:rPr>
          <w:rFonts w:ascii="Sylfaen" w:hAnsi="Sylfaen"/>
          <w:sz w:val="24"/>
          <w:szCs w:val="24"/>
        </w:rPr>
        <w:t>,</w:t>
      </w:r>
      <w:r w:rsidR="00BF456E" w:rsidRPr="000C625B">
        <w:rPr>
          <w:rFonts w:ascii="Sylfaen" w:hAnsi="Sylfaen"/>
          <w:sz w:val="24"/>
          <w:szCs w:val="24"/>
        </w:rPr>
        <w:t xml:space="preserve"> პირი </w:t>
      </w:r>
      <w:r w:rsidR="00C75289" w:rsidRPr="000C625B">
        <w:rPr>
          <w:rFonts w:ascii="Sylfaen" w:hAnsi="Sylfaen"/>
          <w:sz w:val="24"/>
          <w:szCs w:val="24"/>
        </w:rPr>
        <w:t>მი</w:t>
      </w:r>
      <w:r w:rsidR="00BF456E" w:rsidRPr="000C625B">
        <w:rPr>
          <w:rFonts w:ascii="Sylfaen" w:hAnsi="Sylfaen"/>
          <w:sz w:val="24"/>
          <w:szCs w:val="24"/>
        </w:rPr>
        <w:t xml:space="preserve">უთითებს, რომ </w:t>
      </w:r>
      <w:r w:rsidR="00C75289" w:rsidRPr="000C625B">
        <w:rPr>
          <w:rFonts w:ascii="Sylfaen" w:hAnsi="Sylfaen"/>
          <w:sz w:val="24"/>
          <w:szCs w:val="24"/>
        </w:rPr>
        <w:t>შემოაქვს</w:t>
      </w:r>
      <w:r w:rsidR="00BF456E" w:rsidRPr="000C625B">
        <w:rPr>
          <w:rFonts w:ascii="Sylfaen" w:hAnsi="Sylfaen"/>
          <w:sz w:val="24"/>
          <w:szCs w:val="24"/>
        </w:rPr>
        <w:t xml:space="preserve"> სამოქალაქო ბრუნვაში დაშვებული</w:t>
      </w:r>
      <w:r w:rsidR="00C75289" w:rsidRPr="000C625B">
        <w:rPr>
          <w:rFonts w:ascii="Sylfaen" w:hAnsi="Sylfaen"/>
          <w:sz w:val="24"/>
          <w:szCs w:val="24"/>
        </w:rPr>
        <w:t xml:space="preserve"> ვაზნა</w:t>
      </w:r>
      <w:r w:rsidR="00BF456E" w:rsidRPr="000C625B">
        <w:rPr>
          <w:rFonts w:ascii="Sylfaen" w:hAnsi="Sylfaen"/>
          <w:sz w:val="24"/>
          <w:szCs w:val="24"/>
        </w:rPr>
        <w:t xml:space="preserve"> და შემოტანის რაოდენობა. </w:t>
      </w:r>
    </w:p>
    <w:p w14:paraId="3186515E" w14:textId="1777CABC" w:rsidR="006D2BD8" w:rsidRPr="000C625B" w:rsidRDefault="006D2BD8" w:rsidP="006261FD">
      <w:pPr>
        <w:numPr>
          <w:ilvl w:val="0"/>
          <w:numId w:val="1"/>
        </w:numPr>
        <w:spacing w:after="0"/>
        <w:ind w:left="0" w:firstLine="284"/>
        <w:contextualSpacing/>
        <w:jc w:val="both"/>
        <w:rPr>
          <w:rStyle w:val="Strong"/>
          <w:rFonts w:ascii="Sylfaen" w:hAnsi="Sylfaen" w:cs="Calibri"/>
          <w:b w:val="0"/>
          <w:bCs w:val="0"/>
          <w:sz w:val="24"/>
          <w:szCs w:val="24"/>
        </w:rPr>
      </w:pPr>
      <w:r w:rsidRPr="000C625B">
        <w:rPr>
          <w:rStyle w:val="Strong"/>
          <w:rFonts w:ascii="Sylfaen" w:hAnsi="Sylfaen"/>
          <w:b w:val="0"/>
          <w:bCs w:val="0"/>
          <w:sz w:val="24"/>
          <w:szCs w:val="24"/>
        </w:rPr>
        <w:t>საქართველოს შინაგან საქმეთა სამინისტროს მომსახურების სააგენტოს იურიდიულ</w:t>
      </w:r>
      <w:r w:rsidR="009A2C20">
        <w:rPr>
          <w:rStyle w:val="Strong"/>
          <w:rFonts w:ascii="Sylfaen" w:hAnsi="Sylfaen"/>
          <w:b w:val="0"/>
          <w:bCs w:val="0"/>
          <w:sz w:val="24"/>
          <w:szCs w:val="24"/>
        </w:rPr>
        <w:t>ი</w:t>
      </w:r>
      <w:r w:rsidRPr="000C625B">
        <w:rPr>
          <w:rStyle w:val="Strong"/>
          <w:rFonts w:ascii="Sylfaen" w:hAnsi="Sylfaen"/>
          <w:b w:val="0"/>
          <w:bCs w:val="0"/>
          <w:sz w:val="24"/>
          <w:szCs w:val="24"/>
        </w:rPr>
        <w:t xml:space="preserve"> სამმართველოს დირექტორის მოადგილის</w:t>
      </w:r>
      <w:r w:rsidR="009A2C20">
        <w:rPr>
          <w:rStyle w:val="Strong"/>
          <w:rFonts w:ascii="Sylfaen" w:hAnsi="Sylfaen"/>
          <w:b w:val="0"/>
          <w:bCs w:val="0"/>
          <w:sz w:val="24"/>
          <w:szCs w:val="24"/>
        </w:rPr>
        <w:t>,</w:t>
      </w:r>
      <w:r w:rsidRPr="000C625B">
        <w:rPr>
          <w:rStyle w:val="Strong"/>
          <w:rFonts w:ascii="Sylfaen" w:hAnsi="Sylfaen"/>
          <w:b w:val="0"/>
          <w:bCs w:val="0"/>
          <w:sz w:val="24"/>
          <w:szCs w:val="24"/>
        </w:rPr>
        <w:t xml:space="preserve"> კახაბერ სოფრომაძის განმარტების თანახმად, იარაღის ბრუნვა და ტყვია-წამლის ბრუნვა რეგულირდება საქართველოს კანონმდებლობით. შინაგან საქმეთა სამინისტროს მომსახურების სააგენტოს კომპეტენცია</w:t>
      </w:r>
      <w:r w:rsidR="009A2C20">
        <w:rPr>
          <w:rStyle w:val="Strong"/>
          <w:rFonts w:ascii="Sylfaen" w:hAnsi="Sylfaen"/>
          <w:b w:val="0"/>
          <w:bCs w:val="0"/>
          <w:sz w:val="24"/>
          <w:szCs w:val="24"/>
        </w:rPr>
        <w:t>,</w:t>
      </w:r>
      <w:r w:rsidRPr="000C625B">
        <w:rPr>
          <w:rStyle w:val="Strong"/>
          <w:rFonts w:ascii="Sylfaen" w:hAnsi="Sylfaen"/>
          <w:b w:val="0"/>
          <w:bCs w:val="0"/>
          <w:sz w:val="24"/>
          <w:szCs w:val="24"/>
        </w:rPr>
        <w:t xml:space="preserve"> ამ შემთხვევაში</w:t>
      </w:r>
      <w:r w:rsidR="009A2C20">
        <w:rPr>
          <w:rStyle w:val="Strong"/>
          <w:rFonts w:ascii="Sylfaen" w:hAnsi="Sylfaen"/>
          <w:b w:val="0"/>
          <w:bCs w:val="0"/>
          <w:sz w:val="24"/>
          <w:szCs w:val="24"/>
        </w:rPr>
        <w:t>,</w:t>
      </w:r>
      <w:r w:rsidRPr="000C625B">
        <w:rPr>
          <w:rStyle w:val="Strong"/>
          <w:rFonts w:ascii="Sylfaen" w:hAnsi="Sylfaen"/>
          <w:b w:val="0"/>
          <w:bCs w:val="0"/>
          <w:sz w:val="24"/>
          <w:szCs w:val="24"/>
        </w:rPr>
        <w:t xml:space="preserve"> განისაზღვრება იმ ფარგლებში, რაც გათვალისწინებული არის იარაღის შესახებ კანონით და მთავრობის </w:t>
      </w:r>
      <w:r w:rsidR="00C75289" w:rsidRPr="000C625B">
        <w:rPr>
          <w:rFonts w:ascii="Sylfaen" w:hAnsi="Sylfaen" w:cs="Calibri"/>
          <w:sz w:val="24"/>
          <w:szCs w:val="24"/>
        </w:rPr>
        <w:t>№</w:t>
      </w:r>
      <w:r w:rsidRPr="000C625B">
        <w:rPr>
          <w:rStyle w:val="Strong"/>
          <w:rFonts w:ascii="Sylfaen" w:hAnsi="Sylfaen"/>
          <w:b w:val="0"/>
          <w:bCs w:val="0"/>
          <w:sz w:val="24"/>
          <w:szCs w:val="24"/>
        </w:rPr>
        <w:t>162 დადგენილების საფუძველზე</w:t>
      </w:r>
      <w:r w:rsidR="00C75289" w:rsidRPr="000C625B">
        <w:rPr>
          <w:rStyle w:val="Strong"/>
          <w:rFonts w:ascii="Sylfaen" w:hAnsi="Sylfaen"/>
          <w:b w:val="0"/>
          <w:bCs w:val="0"/>
          <w:sz w:val="24"/>
          <w:szCs w:val="24"/>
        </w:rPr>
        <w:t xml:space="preserve">, რომელიც განსაზღვრავს საქართველოს შინაგან </w:t>
      </w:r>
      <w:r w:rsidR="00C75289" w:rsidRPr="000C625B">
        <w:rPr>
          <w:rStyle w:val="Strong"/>
          <w:rFonts w:ascii="Sylfaen" w:hAnsi="Sylfaen"/>
          <w:b w:val="0"/>
          <w:bCs w:val="0"/>
          <w:sz w:val="24"/>
          <w:szCs w:val="24"/>
        </w:rPr>
        <w:lastRenderedPageBreak/>
        <w:t>საქმეთა სამინისტროს მიერ ლიცენზიის ნებართვების გაცემის</w:t>
      </w:r>
      <w:r w:rsidR="00475824" w:rsidRPr="000C625B">
        <w:rPr>
          <w:rStyle w:val="Strong"/>
          <w:rFonts w:ascii="Sylfaen" w:hAnsi="Sylfaen"/>
          <w:b w:val="0"/>
          <w:bCs w:val="0"/>
          <w:sz w:val="24"/>
          <w:szCs w:val="24"/>
        </w:rPr>
        <w:t xml:space="preserve">ა </w:t>
      </w:r>
      <w:r w:rsidR="00C75289" w:rsidRPr="000C625B">
        <w:rPr>
          <w:rStyle w:val="Strong"/>
          <w:rFonts w:ascii="Sylfaen" w:hAnsi="Sylfaen"/>
          <w:b w:val="0"/>
          <w:bCs w:val="0"/>
          <w:sz w:val="24"/>
          <w:szCs w:val="24"/>
        </w:rPr>
        <w:t>და დამატებითი სანებართვო პირობებ</w:t>
      </w:r>
      <w:r w:rsidR="00475824" w:rsidRPr="000C625B">
        <w:rPr>
          <w:rStyle w:val="Strong"/>
          <w:rFonts w:ascii="Sylfaen" w:hAnsi="Sylfaen"/>
          <w:b w:val="0"/>
          <w:bCs w:val="0"/>
          <w:sz w:val="24"/>
          <w:szCs w:val="24"/>
        </w:rPr>
        <w:t>ის დადგენის წესს</w:t>
      </w:r>
      <w:r w:rsidR="00C75289" w:rsidRPr="000C625B">
        <w:rPr>
          <w:rStyle w:val="Strong"/>
          <w:rFonts w:ascii="Sylfaen" w:hAnsi="Sylfaen"/>
          <w:b w:val="0"/>
          <w:bCs w:val="0"/>
          <w:sz w:val="24"/>
          <w:szCs w:val="24"/>
        </w:rPr>
        <w:t xml:space="preserve">. </w:t>
      </w:r>
      <w:r w:rsidRPr="000C625B">
        <w:rPr>
          <w:rStyle w:val="Strong"/>
          <w:rFonts w:ascii="Sylfaen" w:hAnsi="Sylfaen"/>
          <w:b w:val="0"/>
          <w:bCs w:val="0"/>
          <w:sz w:val="24"/>
          <w:szCs w:val="24"/>
        </w:rPr>
        <w:t>კომპეტენციის ფარგლებში მომსახურების სააგენტოს აქვს ვალდებულება</w:t>
      </w:r>
      <w:r w:rsidR="009A2C20">
        <w:rPr>
          <w:rStyle w:val="Strong"/>
          <w:rFonts w:ascii="Sylfaen" w:hAnsi="Sylfaen"/>
          <w:b w:val="0"/>
          <w:bCs w:val="0"/>
          <w:sz w:val="24"/>
          <w:szCs w:val="24"/>
        </w:rPr>
        <w:t>,</w:t>
      </w:r>
      <w:r w:rsidRPr="000C625B">
        <w:rPr>
          <w:rStyle w:val="Strong"/>
          <w:rFonts w:ascii="Sylfaen" w:hAnsi="Sylfaen"/>
          <w:b w:val="0"/>
          <w:bCs w:val="0"/>
          <w:sz w:val="24"/>
          <w:szCs w:val="24"/>
        </w:rPr>
        <w:t xml:space="preserve"> გასცეს ნებართვა გარკვეული პროცედურების დაცვით, იარაღთან და </w:t>
      </w:r>
      <w:r w:rsidR="009A2C20">
        <w:rPr>
          <w:rStyle w:val="Strong"/>
          <w:rFonts w:ascii="Sylfaen" w:hAnsi="Sylfaen"/>
          <w:b w:val="0"/>
          <w:bCs w:val="0"/>
          <w:sz w:val="24"/>
          <w:szCs w:val="24"/>
        </w:rPr>
        <w:t>ტყვია–</w:t>
      </w:r>
      <w:r w:rsidRPr="000C625B">
        <w:rPr>
          <w:rStyle w:val="Strong"/>
          <w:rFonts w:ascii="Sylfaen" w:hAnsi="Sylfaen"/>
          <w:b w:val="0"/>
          <w:bCs w:val="0"/>
          <w:sz w:val="24"/>
          <w:szCs w:val="24"/>
        </w:rPr>
        <w:t>წამალთან დაკავშირებით.</w:t>
      </w:r>
      <w:r w:rsidRPr="000C625B">
        <w:rPr>
          <w:rStyle w:val="Strong"/>
          <w:rFonts w:ascii="Sylfaen" w:hAnsi="Sylfaen" w:cs="Calibri"/>
          <w:b w:val="0"/>
          <w:bCs w:val="0"/>
          <w:sz w:val="24"/>
          <w:szCs w:val="24"/>
        </w:rPr>
        <w:t xml:space="preserve"> </w:t>
      </w:r>
      <w:r w:rsidRPr="000C625B">
        <w:rPr>
          <w:rStyle w:val="Strong"/>
          <w:rFonts w:ascii="Sylfaen" w:hAnsi="Sylfaen"/>
          <w:b w:val="0"/>
          <w:bCs w:val="0"/>
          <w:sz w:val="24"/>
          <w:szCs w:val="24"/>
        </w:rPr>
        <w:t xml:space="preserve">ქვეყნის შიგნით ტყვია-წამლის </w:t>
      </w:r>
      <w:r w:rsidR="009A2C20" w:rsidRPr="000C625B">
        <w:rPr>
          <w:rStyle w:val="Strong"/>
          <w:rFonts w:ascii="Sylfaen" w:hAnsi="Sylfaen"/>
          <w:b w:val="0"/>
          <w:bCs w:val="0"/>
          <w:sz w:val="24"/>
          <w:szCs w:val="24"/>
        </w:rPr>
        <w:t>ბრუნვა</w:t>
      </w:r>
      <w:r w:rsidR="009A2C20">
        <w:rPr>
          <w:rStyle w:val="Strong"/>
          <w:rFonts w:ascii="Sylfaen" w:hAnsi="Sylfaen"/>
          <w:b w:val="0"/>
          <w:bCs w:val="0"/>
          <w:sz w:val="24"/>
          <w:szCs w:val="24"/>
        </w:rPr>
        <w:t>ს</w:t>
      </w:r>
      <w:r w:rsidR="00D93F7C">
        <w:rPr>
          <w:rStyle w:val="Strong"/>
          <w:rFonts w:ascii="Sylfaen" w:hAnsi="Sylfaen"/>
          <w:b w:val="0"/>
          <w:bCs w:val="0"/>
          <w:sz w:val="24"/>
          <w:szCs w:val="24"/>
        </w:rPr>
        <w:t xml:space="preserve"> </w:t>
      </w:r>
      <w:r w:rsidRPr="000C625B">
        <w:rPr>
          <w:rStyle w:val="Strong"/>
          <w:rFonts w:ascii="Sylfaen" w:hAnsi="Sylfaen"/>
          <w:b w:val="0"/>
          <w:bCs w:val="0"/>
          <w:sz w:val="24"/>
          <w:szCs w:val="24"/>
        </w:rPr>
        <w:t>შესაბამისი ლიცენზიის საფუძველზე ახორციელებ</w:t>
      </w:r>
      <w:r w:rsidR="00D93F7C">
        <w:rPr>
          <w:rStyle w:val="Strong"/>
          <w:rFonts w:ascii="Sylfaen" w:hAnsi="Sylfaen"/>
          <w:b w:val="0"/>
          <w:bCs w:val="0"/>
          <w:sz w:val="24"/>
          <w:szCs w:val="24"/>
        </w:rPr>
        <w:t>ენ</w:t>
      </w:r>
      <w:r w:rsidRPr="000C625B">
        <w:rPr>
          <w:rStyle w:val="Strong"/>
          <w:rFonts w:ascii="Sylfaen" w:hAnsi="Sylfaen"/>
          <w:b w:val="0"/>
          <w:bCs w:val="0"/>
          <w:sz w:val="24"/>
          <w:szCs w:val="24"/>
        </w:rPr>
        <w:t xml:space="preserve"> შესაბამისი მაღაზიები, ამ შემთხვევაში</w:t>
      </w:r>
      <w:r w:rsidR="00D93F7C">
        <w:rPr>
          <w:rStyle w:val="Strong"/>
          <w:rFonts w:ascii="Sylfaen" w:hAnsi="Sylfaen"/>
          <w:b w:val="0"/>
          <w:bCs w:val="0"/>
          <w:sz w:val="24"/>
          <w:szCs w:val="24"/>
        </w:rPr>
        <w:t>,</w:t>
      </w:r>
      <w:r w:rsidRPr="000C625B">
        <w:rPr>
          <w:rStyle w:val="Strong"/>
          <w:rFonts w:ascii="Sylfaen" w:hAnsi="Sylfaen"/>
          <w:b w:val="0"/>
          <w:bCs w:val="0"/>
          <w:sz w:val="24"/>
          <w:szCs w:val="24"/>
        </w:rPr>
        <w:t xml:space="preserve"> იარაღის</w:t>
      </w:r>
      <w:r w:rsidR="00475824" w:rsidRPr="000C625B">
        <w:rPr>
          <w:rStyle w:val="Strong"/>
          <w:rFonts w:ascii="Sylfaen" w:hAnsi="Sylfaen"/>
          <w:b w:val="0"/>
          <w:bCs w:val="0"/>
          <w:sz w:val="24"/>
          <w:szCs w:val="24"/>
        </w:rPr>
        <w:t>ა და</w:t>
      </w:r>
      <w:r w:rsidRPr="000C625B">
        <w:rPr>
          <w:rStyle w:val="Strong"/>
          <w:rFonts w:ascii="Sylfaen" w:hAnsi="Sylfaen"/>
          <w:b w:val="0"/>
          <w:bCs w:val="0"/>
          <w:sz w:val="24"/>
          <w:szCs w:val="24"/>
        </w:rPr>
        <w:t xml:space="preserve"> ტყვია</w:t>
      </w:r>
      <w:r w:rsidR="00475824" w:rsidRPr="000C625B">
        <w:rPr>
          <w:rStyle w:val="Strong"/>
          <w:rFonts w:ascii="Sylfaen" w:hAnsi="Sylfaen"/>
          <w:b w:val="0"/>
          <w:bCs w:val="0"/>
          <w:sz w:val="24"/>
          <w:szCs w:val="24"/>
        </w:rPr>
        <w:t>-</w:t>
      </w:r>
      <w:r w:rsidRPr="000C625B">
        <w:rPr>
          <w:rStyle w:val="Strong"/>
          <w:rFonts w:ascii="Sylfaen" w:hAnsi="Sylfaen"/>
          <w:b w:val="0"/>
          <w:bCs w:val="0"/>
          <w:sz w:val="24"/>
          <w:szCs w:val="24"/>
        </w:rPr>
        <w:t>წამლის შეძენა ლიმიტირებული არ არის, თუმცა მისი გადატანა არის ლიმიტირებული და 300 ცალზე ზევით ტყვიის გადატანის შემთხვევაში</w:t>
      </w:r>
      <w:r w:rsidR="00D93F7C">
        <w:rPr>
          <w:rStyle w:val="Strong"/>
          <w:rFonts w:ascii="Sylfaen" w:hAnsi="Sylfaen"/>
          <w:b w:val="0"/>
          <w:bCs w:val="0"/>
          <w:sz w:val="24"/>
          <w:szCs w:val="24"/>
        </w:rPr>
        <w:t>,</w:t>
      </w:r>
      <w:r w:rsidRPr="000C625B">
        <w:rPr>
          <w:rStyle w:val="Strong"/>
          <w:rFonts w:ascii="Sylfaen" w:hAnsi="Sylfaen"/>
          <w:b w:val="0"/>
          <w:bCs w:val="0"/>
          <w:sz w:val="24"/>
          <w:szCs w:val="24"/>
        </w:rPr>
        <w:t xml:space="preserve"> შესაბამის ნებართვას გასცემს მომსახურების სააგენტო. სამხედრო დანიშნულების იარაღის თავისუფალი ფლობა აკრძალულია</w:t>
      </w:r>
      <w:r w:rsidR="00475824" w:rsidRPr="000C625B">
        <w:rPr>
          <w:rStyle w:val="Strong"/>
          <w:rFonts w:ascii="Sylfaen" w:hAnsi="Sylfaen"/>
          <w:b w:val="0"/>
          <w:bCs w:val="0"/>
          <w:sz w:val="24"/>
          <w:szCs w:val="24"/>
        </w:rPr>
        <w:t>, ხოლო</w:t>
      </w:r>
      <w:r w:rsidRPr="000C625B">
        <w:rPr>
          <w:rStyle w:val="Strong"/>
          <w:rFonts w:ascii="Sylfaen" w:hAnsi="Sylfaen"/>
          <w:b w:val="0"/>
          <w:bCs w:val="0"/>
          <w:sz w:val="24"/>
          <w:szCs w:val="24"/>
        </w:rPr>
        <w:t xml:space="preserve"> სანადირო იარაღისთვის განკუთვნილი ვაზნების გადატანა არის ლიმიტირებული 300 ცალამდე</w:t>
      </w:r>
      <w:r w:rsidR="00475824" w:rsidRPr="000C625B">
        <w:rPr>
          <w:rStyle w:val="Strong"/>
          <w:rFonts w:ascii="Sylfaen" w:hAnsi="Sylfaen"/>
          <w:b w:val="0"/>
          <w:bCs w:val="0"/>
          <w:sz w:val="24"/>
          <w:szCs w:val="24"/>
        </w:rPr>
        <w:t>.</w:t>
      </w:r>
      <w:r w:rsidRPr="000C625B">
        <w:rPr>
          <w:rStyle w:val="Strong"/>
          <w:rFonts w:ascii="Sylfaen" w:hAnsi="Sylfaen"/>
          <w:b w:val="0"/>
          <w:bCs w:val="0"/>
          <w:sz w:val="24"/>
          <w:szCs w:val="24"/>
        </w:rPr>
        <w:t xml:space="preserve"> ქვეყანაში ტყვია-წამლის შემოტანის შემთხვევაში</w:t>
      </w:r>
      <w:r w:rsidR="00D93F7C">
        <w:rPr>
          <w:rStyle w:val="Strong"/>
          <w:rFonts w:ascii="Sylfaen" w:hAnsi="Sylfaen"/>
          <w:b w:val="0"/>
          <w:bCs w:val="0"/>
          <w:sz w:val="24"/>
          <w:szCs w:val="24"/>
        </w:rPr>
        <w:t>,</w:t>
      </w:r>
      <w:r w:rsidRPr="000C625B">
        <w:rPr>
          <w:rStyle w:val="Strong"/>
          <w:rFonts w:ascii="Sylfaen" w:hAnsi="Sylfaen"/>
          <w:b w:val="0"/>
          <w:bCs w:val="0"/>
          <w:sz w:val="24"/>
          <w:szCs w:val="24"/>
        </w:rPr>
        <w:t xml:space="preserve"> მომსახურების სააგენტო გასცემს ნებართვას იმ იარაღისთვის განკუთვნილი ტყვია-წამლისთვის, რომელიც პიროვნებას აქვს</w:t>
      </w:r>
      <w:r w:rsidR="00475824" w:rsidRPr="000C625B">
        <w:rPr>
          <w:rStyle w:val="Strong"/>
          <w:rFonts w:ascii="Sylfaen" w:hAnsi="Sylfaen"/>
          <w:b w:val="0"/>
          <w:bCs w:val="0"/>
          <w:sz w:val="24"/>
          <w:szCs w:val="24"/>
        </w:rPr>
        <w:t xml:space="preserve"> რეგისტრირებული</w:t>
      </w:r>
      <w:r w:rsidRPr="000C625B">
        <w:rPr>
          <w:rStyle w:val="Strong"/>
          <w:rFonts w:ascii="Sylfaen" w:hAnsi="Sylfaen"/>
          <w:b w:val="0"/>
          <w:bCs w:val="0"/>
          <w:sz w:val="24"/>
          <w:szCs w:val="24"/>
        </w:rPr>
        <w:t xml:space="preserve">, </w:t>
      </w:r>
      <w:r w:rsidR="00475824" w:rsidRPr="000C625B">
        <w:rPr>
          <w:rStyle w:val="Strong"/>
          <w:rFonts w:ascii="Sylfaen" w:hAnsi="Sylfaen"/>
          <w:b w:val="0"/>
          <w:bCs w:val="0"/>
          <w:sz w:val="24"/>
          <w:szCs w:val="24"/>
        </w:rPr>
        <w:t xml:space="preserve">ამ შემთხვევაში, </w:t>
      </w:r>
      <w:r w:rsidRPr="000C625B">
        <w:rPr>
          <w:rStyle w:val="Strong"/>
          <w:rFonts w:ascii="Sylfaen" w:hAnsi="Sylfaen"/>
          <w:b w:val="0"/>
          <w:bCs w:val="0"/>
          <w:sz w:val="24"/>
          <w:szCs w:val="24"/>
        </w:rPr>
        <w:t>არა</w:t>
      </w:r>
      <w:r w:rsidR="00D93F7C">
        <w:rPr>
          <w:rStyle w:val="Strong"/>
          <w:rFonts w:ascii="Sylfaen" w:hAnsi="Sylfaen"/>
          <w:b w:val="0"/>
          <w:bCs w:val="0"/>
          <w:sz w:val="24"/>
          <w:szCs w:val="24"/>
        </w:rPr>
        <w:t xml:space="preserve"> </w:t>
      </w:r>
      <w:r w:rsidRPr="000C625B">
        <w:rPr>
          <w:rStyle w:val="Strong"/>
          <w:rFonts w:ascii="Sylfaen" w:hAnsi="Sylfaen"/>
          <w:b w:val="0"/>
          <w:bCs w:val="0"/>
          <w:sz w:val="24"/>
          <w:szCs w:val="24"/>
        </w:rPr>
        <w:t>უმეტეს 1000 ცალი</w:t>
      </w:r>
      <w:r w:rsidR="00475824" w:rsidRPr="000C625B">
        <w:rPr>
          <w:rStyle w:val="Strong"/>
          <w:rFonts w:ascii="Sylfaen" w:hAnsi="Sylfaen"/>
          <w:b w:val="0"/>
          <w:bCs w:val="0"/>
          <w:sz w:val="24"/>
          <w:szCs w:val="24"/>
        </w:rPr>
        <w:t>ს შემოტანის უფლება აქვს პირს</w:t>
      </w:r>
      <w:r w:rsidRPr="000C625B">
        <w:rPr>
          <w:rStyle w:val="Strong"/>
          <w:rFonts w:ascii="Sylfaen" w:hAnsi="Sylfaen"/>
          <w:b w:val="0"/>
          <w:bCs w:val="0"/>
          <w:sz w:val="24"/>
          <w:szCs w:val="24"/>
        </w:rPr>
        <w:t xml:space="preserve">. </w:t>
      </w:r>
      <w:r w:rsidR="00A736FE" w:rsidRPr="000C625B">
        <w:rPr>
          <w:rStyle w:val="Strong"/>
          <w:rFonts w:ascii="Sylfaen" w:hAnsi="Sylfaen"/>
          <w:b w:val="0"/>
          <w:bCs w:val="0"/>
          <w:sz w:val="24"/>
          <w:szCs w:val="24"/>
        </w:rPr>
        <w:t>აღნიშნული</w:t>
      </w:r>
      <w:r w:rsidRPr="000C625B">
        <w:rPr>
          <w:rStyle w:val="Strong"/>
          <w:rFonts w:ascii="Sylfaen" w:hAnsi="Sylfaen"/>
          <w:b w:val="0"/>
          <w:bCs w:val="0"/>
          <w:sz w:val="24"/>
          <w:szCs w:val="24"/>
        </w:rPr>
        <w:t xml:space="preserve"> ნებართვა გაიცემა </w:t>
      </w:r>
      <w:r w:rsidR="00475824" w:rsidRPr="000C625B">
        <w:rPr>
          <w:rStyle w:val="Strong"/>
          <w:rFonts w:ascii="Sylfaen" w:hAnsi="Sylfaen"/>
          <w:b w:val="0"/>
          <w:bCs w:val="0"/>
          <w:sz w:val="24"/>
          <w:szCs w:val="24"/>
        </w:rPr>
        <w:t>ვაზნების</w:t>
      </w:r>
      <w:r w:rsidRPr="000C625B">
        <w:rPr>
          <w:rStyle w:val="Strong"/>
          <w:rFonts w:ascii="Sylfaen" w:hAnsi="Sylfaen"/>
          <w:b w:val="0"/>
          <w:bCs w:val="0"/>
          <w:sz w:val="24"/>
          <w:szCs w:val="24"/>
        </w:rPr>
        <w:t xml:space="preserve"> </w:t>
      </w:r>
      <w:r w:rsidR="00475824" w:rsidRPr="000C625B">
        <w:rPr>
          <w:rStyle w:val="Strong"/>
          <w:rFonts w:ascii="Sylfaen" w:hAnsi="Sylfaen"/>
          <w:b w:val="0"/>
          <w:bCs w:val="0"/>
          <w:sz w:val="24"/>
          <w:szCs w:val="24"/>
        </w:rPr>
        <w:t xml:space="preserve">შეძენამდე, ხოლო ვაზნების </w:t>
      </w:r>
      <w:r w:rsidR="00A736FE" w:rsidRPr="000C625B">
        <w:rPr>
          <w:rStyle w:val="Strong"/>
          <w:rFonts w:ascii="Sylfaen" w:hAnsi="Sylfaen"/>
          <w:b w:val="0"/>
          <w:bCs w:val="0"/>
          <w:sz w:val="24"/>
          <w:szCs w:val="24"/>
        </w:rPr>
        <w:t xml:space="preserve">შესაბამისობა მოწმდება </w:t>
      </w:r>
      <w:r w:rsidRPr="000C625B">
        <w:rPr>
          <w:rStyle w:val="Strong"/>
          <w:rFonts w:ascii="Sylfaen" w:hAnsi="Sylfaen"/>
          <w:b w:val="0"/>
          <w:bCs w:val="0"/>
          <w:sz w:val="24"/>
          <w:szCs w:val="24"/>
        </w:rPr>
        <w:t xml:space="preserve">საბაჟო კონტროლის </w:t>
      </w:r>
      <w:r w:rsidR="00A736FE" w:rsidRPr="000C625B">
        <w:rPr>
          <w:rStyle w:val="Strong"/>
          <w:rFonts w:ascii="Sylfaen" w:hAnsi="Sylfaen"/>
          <w:b w:val="0"/>
          <w:bCs w:val="0"/>
          <w:sz w:val="24"/>
          <w:szCs w:val="24"/>
        </w:rPr>
        <w:t>დროს.</w:t>
      </w:r>
    </w:p>
    <w:p w14:paraId="08EC3E32" w14:textId="77777777" w:rsidR="00792513" w:rsidRPr="000C625B" w:rsidRDefault="0031185A" w:rsidP="00792513">
      <w:pPr>
        <w:numPr>
          <w:ilvl w:val="0"/>
          <w:numId w:val="1"/>
        </w:numPr>
        <w:spacing w:after="0"/>
        <w:ind w:left="0" w:firstLine="284"/>
        <w:contextualSpacing/>
        <w:jc w:val="both"/>
        <w:rPr>
          <w:rStyle w:val="Strong"/>
          <w:rFonts w:ascii="Sylfaen" w:hAnsi="Sylfaen" w:cs="Calibri"/>
          <w:sz w:val="24"/>
          <w:szCs w:val="24"/>
        </w:rPr>
      </w:pPr>
      <w:r w:rsidRPr="000C625B">
        <w:rPr>
          <w:rStyle w:val="Strong"/>
          <w:rFonts w:ascii="Sylfaen" w:hAnsi="Sylfaen"/>
          <w:b w:val="0"/>
          <w:bCs w:val="0"/>
          <w:sz w:val="24"/>
          <w:szCs w:val="24"/>
        </w:rPr>
        <w:t>სასამართლო ექსპერტიზის ბიუროს ექსპერტ</w:t>
      </w:r>
      <w:r w:rsidR="00DA0F48" w:rsidRPr="000C625B">
        <w:rPr>
          <w:rStyle w:val="Strong"/>
          <w:rFonts w:ascii="Sylfaen" w:hAnsi="Sylfaen"/>
          <w:b w:val="0"/>
          <w:bCs w:val="0"/>
          <w:sz w:val="24"/>
          <w:szCs w:val="24"/>
        </w:rPr>
        <w:t>მა</w:t>
      </w:r>
      <w:r w:rsidR="00CA585D">
        <w:rPr>
          <w:rStyle w:val="Strong"/>
          <w:rFonts w:ascii="Sylfaen" w:hAnsi="Sylfaen"/>
          <w:b w:val="0"/>
          <w:bCs w:val="0"/>
          <w:sz w:val="24"/>
          <w:szCs w:val="24"/>
        </w:rPr>
        <w:t>,</w:t>
      </w:r>
      <w:r w:rsidR="00DA0F48" w:rsidRPr="000C625B">
        <w:rPr>
          <w:rStyle w:val="Strong"/>
          <w:rFonts w:ascii="Sylfaen" w:hAnsi="Sylfaen"/>
          <w:b w:val="0"/>
          <w:bCs w:val="0"/>
          <w:sz w:val="24"/>
          <w:szCs w:val="24"/>
        </w:rPr>
        <w:t xml:space="preserve"> ალექსანდრე ანჯაფარიძემ აღნიშნა, რომ ჩაატარა ექსპერტიზა მოსარჩელის ადვოკატის მიერ წარმოდგენილ ვაზნებთან დაკავშირებით და </w:t>
      </w:r>
      <w:r w:rsidR="00282A21" w:rsidRPr="000C625B">
        <w:rPr>
          <w:rStyle w:val="Strong"/>
          <w:rFonts w:ascii="Sylfaen" w:hAnsi="Sylfaen"/>
          <w:b w:val="0"/>
          <w:bCs w:val="0"/>
          <w:sz w:val="24"/>
          <w:szCs w:val="24"/>
        </w:rPr>
        <w:t xml:space="preserve">ვიზუალური </w:t>
      </w:r>
      <w:r w:rsidR="00DA0F48" w:rsidRPr="000C625B">
        <w:rPr>
          <w:rStyle w:val="Strong"/>
          <w:rFonts w:ascii="Sylfaen" w:hAnsi="Sylfaen"/>
          <w:b w:val="0"/>
          <w:bCs w:val="0"/>
          <w:sz w:val="24"/>
          <w:szCs w:val="24"/>
        </w:rPr>
        <w:t>გამოკვლევის შედეგად დაასკვნა, რომ ორი ვაზნა განეკუთვნებოდა სამხედრო დანიშნულების ვაზნას, ხოლო ორი ვაზნა საბრძოლო დანიშნულების ვაზნას, რ</w:t>
      </w:r>
      <w:r w:rsidR="00282A21" w:rsidRPr="000C625B">
        <w:rPr>
          <w:rStyle w:val="Strong"/>
          <w:rFonts w:ascii="Sylfaen" w:hAnsi="Sylfaen"/>
          <w:b w:val="0"/>
          <w:bCs w:val="0"/>
          <w:sz w:val="24"/>
          <w:szCs w:val="24"/>
        </w:rPr>
        <w:t>ომლებსაც</w:t>
      </w:r>
      <w:r w:rsidR="00DA0F48" w:rsidRPr="000C625B">
        <w:rPr>
          <w:rStyle w:val="Strong"/>
          <w:rFonts w:ascii="Sylfaen" w:hAnsi="Sylfaen"/>
          <w:b w:val="0"/>
          <w:bCs w:val="0"/>
          <w:sz w:val="24"/>
          <w:szCs w:val="24"/>
        </w:rPr>
        <w:t xml:space="preserve"> არ გააჩნ</w:t>
      </w:r>
      <w:r w:rsidR="00282A21" w:rsidRPr="000C625B">
        <w:rPr>
          <w:rStyle w:val="Strong"/>
          <w:rFonts w:ascii="Sylfaen" w:hAnsi="Sylfaen"/>
          <w:b w:val="0"/>
          <w:bCs w:val="0"/>
          <w:sz w:val="24"/>
          <w:szCs w:val="24"/>
        </w:rPr>
        <w:t>დათ</w:t>
      </w:r>
      <w:r w:rsidR="00DA0F48" w:rsidRPr="000C625B">
        <w:rPr>
          <w:rStyle w:val="Strong"/>
          <w:rFonts w:ascii="Sylfaen" w:hAnsi="Sylfaen"/>
          <w:b w:val="0"/>
          <w:bCs w:val="0"/>
          <w:sz w:val="24"/>
          <w:szCs w:val="24"/>
        </w:rPr>
        <w:t xml:space="preserve"> ჭურვის წვერზე </w:t>
      </w:r>
      <w:proofErr w:type="spellStart"/>
      <w:r w:rsidR="00DA0F48" w:rsidRPr="000C625B">
        <w:rPr>
          <w:rStyle w:val="Strong"/>
          <w:rFonts w:ascii="Sylfaen" w:hAnsi="Sylfaen"/>
          <w:b w:val="0"/>
          <w:bCs w:val="0"/>
          <w:sz w:val="24"/>
          <w:szCs w:val="24"/>
        </w:rPr>
        <w:t>ე.წ</w:t>
      </w:r>
      <w:proofErr w:type="spellEnd"/>
      <w:r w:rsidR="00D93F7C">
        <w:rPr>
          <w:rStyle w:val="Strong"/>
          <w:rFonts w:ascii="Sylfaen" w:hAnsi="Sylfaen"/>
          <w:b w:val="0"/>
          <w:bCs w:val="0"/>
          <w:sz w:val="24"/>
          <w:szCs w:val="24"/>
        </w:rPr>
        <w:t>.</w:t>
      </w:r>
      <w:r w:rsidR="00DA0F48" w:rsidRPr="000C625B">
        <w:rPr>
          <w:rStyle w:val="Strong"/>
          <w:rFonts w:ascii="Sylfaen" w:hAnsi="Sylfaen"/>
          <w:b w:val="0"/>
          <w:bCs w:val="0"/>
          <w:sz w:val="24"/>
          <w:szCs w:val="24"/>
        </w:rPr>
        <w:t xml:space="preserve"> „</w:t>
      </w:r>
      <w:proofErr w:type="spellStart"/>
      <w:r w:rsidR="00DA0F48" w:rsidRPr="000C625B">
        <w:rPr>
          <w:rStyle w:val="Strong"/>
          <w:rFonts w:ascii="Sylfaen" w:hAnsi="Sylfaen"/>
          <w:b w:val="0"/>
          <w:bCs w:val="0"/>
          <w:sz w:val="24"/>
          <w:szCs w:val="24"/>
        </w:rPr>
        <w:t>ჩახვრეტა</w:t>
      </w:r>
      <w:proofErr w:type="spellEnd"/>
      <w:r w:rsidR="00DA0F48" w:rsidRPr="000C625B">
        <w:rPr>
          <w:rStyle w:val="Strong"/>
          <w:rFonts w:ascii="Sylfaen" w:hAnsi="Sylfaen"/>
          <w:b w:val="0"/>
          <w:bCs w:val="0"/>
          <w:sz w:val="24"/>
          <w:szCs w:val="24"/>
        </w:rPr>
        <w:t>“, თუმცა ვაზნების კორპუსზე მოქმედებ</w:t>
      </w:r>
      <w:r w:rsidR="00282A21" w:rsidRPr="000C625B">
        <w:rPr>
          <w:rStyle w:val="Strong"/>
          <w:rFonts w:ascii="Sylfaen" w:hAnsi="Sylfaen"/>
          <w:b w:val="0"/>
          <w:bCs w:val="0"/>
          <w:sz w:val="24"/>
          <w:szCs w:val="24"/>
        </w:rPr>
        <w:t>და</w:t>
      </w:r>
      <w:r w:rsidR="00DA0F48" w:rsidRPr="000C625B">
        <w:rPr>
          <w:rStyle w:val="Strong"/>
          <w:rFonts w:ascii="Sylfaen" w:hAnsi="Sylfaen"/>
          <w:b w:val="0"/>
          <w:bCs w:val="0"/>
          <w:sz w:val="24"/>
          <w:szCs w:val="24"/>
        </w:rPr>
        <w:t xml:space="preserve"> მაგნიტური ველი (იკრავს მაგნიტი).</w:t>
      </w:r>
    </w:p>
    <w:p w14:paraId="6A1ABCBC" w14:textId="0AA12984" w:rsidR="00C45662" w:rsidRPr="000C625B" w:rsidRDefault="00DA0F48" w:rsidP="00282A21">
      <w:pPr>
        <w:numPr>
          <w:ilvl w:val="0"/>
          <w:numId w:val="1"/>
        </w:numPr>
        <w:spacing w:after="0"/>
        <w:ind w:left="0" w:firstLine="284"/>
        <w:contextualSpacing/>
        <w:jc w:val="both"/>
        <w:rPr>
          <w:rFonts w:ascii="Sylfaen" w:hAnsi="Sylfaen" w:cs="Calibri"/>
          <w:b/>
          <w:bCs/>
          <w:sz w:val="24"/>
          <w:szCs w:val="24"/>
        </w:rPr>
      </w:pPr>
      <w:r w:rsidRPr="000C625B">
        <w:rPr>
          <w:rStyle w:val="Strong"/>
          <w:rFonts w:ascii="Sylfaen" w:hAnsi="Sylfaen"/>
          <w:b w:val="0"/>
          <w:bCs w:val="0"/>
          <w:sz w:val="24"/>
          <w:szCs w:val="24"/>
        </w:rPr>
        <w:t xml:space="preserve"> </w:t>
      </w:r>
      <w:r w:rsidR="00F368C8" w:rsidRPr="000C625B">
        <w:rPr>
          <w:rFonts w:ascii="Sylfaen" w:hAnsi="Sylfaen"/>
          <w:sz w:val="24"/>
          <w:szCs w:val="24"/>
        </w:rPr>
        <w:t xml:space="preserve">შინაგან საქმეთა სამინისტროს </w:t>
      </w:r>
      <w:proofErr w:type="spellStart"/>
      <w:r w:rsidR="00F368C8" w:rsidRPr="000C625B">
        <w:rPr>
          <w:rFonts w:ascii="Sylfaen" w:hAnsi="Sylfaen"/>
          <w:sz w:val="24"/>
          <w:szCs w:val="24"/>
        </w:rPr>
        <w:t>საექსპერტო</w:t>
      </w:r>
      <w:proofErr w:type="spellEnd"/>
      <w:r w:rsidR="00F368C8" w:rsidRPr="000C625B">
        <w:rPr>
          <w:rFonts w:ascii="Sylfaen" w:hAnsi="Sylfaen"/>
          <w:sz w:val="24"/>
          <w:szCs w:val="24"/>
        </w:rPr>
        <w:t>-კრიმინალისტიკური დეპარტამენტი</w:t>
      </w:r>
      <w:r w:rsidR="00CA585D">
        <w:rPr>
          <w:rFonts w:ascii="Sylfaen" w:hAnsi="Sylfaen"/>
          <w:sz w:val="24"/>
          <w:szCs w:val="24"/>
        </w:rPr>
        <w:t>ს</w:t>
      </w:r>
      <w:r w:rsidR="00F368C8" w:rsidRPr="000C625B">
        <w:rPr>
          <w:rFonts w:ascii="Sylfaen" w:hAnsi="Sylfaen"/>
          <w:sz w:val="24"/>
          <w:szCs w:val="24"/>
        </w:rPr>
        <w:t xml:space="preserve"> ექსპერტიზის მთავარი სამმართველოს უფროსი</w:t>
      </w:r>
      <w:r w:rsidR="00AC3F6F">
        <w:rPr>
          <w:rFonts w:ascii="Sylfaen" w:hAnsi="Sylfaen"/>
          <w:sz w:val="24"/>
          <w:szCs w:val="24"/>
        </w:rPr>
        <w:t>ს,</w:t>
      </w:r>
      <w:r w:rsidR="00F368C8" w:rsidRPr="000C625B">
        <w:rPr>
          <w:rFonts w:ascii="Sylfaen" w:hAnsi="Sylfaen"/>
          <w:sz w:val="24"/>
          <w:szCs w:val="24"/>
        </w:rPr>
        <w:t xml:space="preserve"> ირაკლი ვერულაშვილის განმარტები</w:t>
      </w:r>
      <w:r w:rsidR="00CA585D">
        <w:rPr>
          <w:rFonts w:ascii="Sylfaen" w:hAnsi="Sylfaen"/>
          <w:sz w:val="24"/>
          <w:szCs w:val="24"/>
        </w:rPr>
        <w:t>ს</w:t>
      </w:r>
      <w:r w:rsidR="00F368C8" w:rsidRPr="000C625B">
        <w:rPr>
          <w:rFonts w:ascii="Sylfaen" w:hAnsi="Sylfaen"/>
          <w:sz w:val="24"/>
          <w:szCs w:val="24"/>
        </w:rPr>
        <w:t xml:space="preserve"> მიხედვით, </w:t>
      </w:r>
      <w:r w:rsidR="000C625B">
        <w:rPr>
          <w:rFonts w:ascii="Sylfaen" w:hAnsi="Sylfaen"/>
          <w:sz w:val="24"/>
          <w:szCs w:val="24"/>
        </w:rPr>
        <w:t xml:space="preserve">რათა </w:t>
      </w:r>
      <w:r w:rsidR="00F368C8" w:rsidRPr="000C625B">
        <w:rPr>
          <w:rFonts w:ascii="Sylfaen" w:hAnsi="Sylfaen"/>
          <w:sz w:val="24"/>
          <w:szCs w:val="24"/>
        </w:rPr>
        <w:t>განვსაზღვროთ ექსპერტიზაზე წარმოდგენილი ობიექტი რა ტიპის ვაზნას მიეკუთვნება, საწყის ეტაპზე, ტარდება ვაზნის ვიზუალური აღწერილობა, შემდგომი ეტაპი, მათ შორის, არის მაგნიტის მიზიდულობის საკითხი, თუმცა ჩვენ გვხვდება პრაქტიკაში ისეთი სახის სანადირო დანიშნულების ვაზნები, რომელ</w:t>
      </w:r>
      <w:r w:rsidR="00CA585D">
        <w:rPr>
          <w:rFonts w:ascii="Sylfaen" w:hAnsi="Sylfaen"/>
          <w:sz w:val="24"/>
          <w:szCs w:val="24"/>
        </w:rPr>
        <w:t>თ</w:t>
      </w:r>
      <w:r w:rsidR="00F368C8" w:rsidRPr="000C625B">
        <w:rPr>
          <w:rFonts w:ascii="Sylfaen" w:hAnsi="Sylfaen"/>
          <w:sz w:val="24"/>
          <w:szCs w:val="24"/>
        </w:rPr>
        <w:t xml:space="preserve">აც აქვს მიზიდულობა </w:t>
      </w:r>
      <w:proofErr w:type="spellStart"/>
      <w:r w:rsidR="00F368C8" w:rsidRPr="000C625B">
        <w:rPr>
          <w:rFonts w:ascii="Sylfaen" w:hAnsi="Sylfaen"/>
          <w:sz w:val="24"/>
          <w:szCs w:val="24"/>
        </w:rPr>
        <w:t>მაგნიტთან</w:t>
      </w:r>
      <w:proofErr w:type="spellEnd"/>
      <w:r w:rsidR="00F368C8" w:rsidRPr="000C625B">
        <w:rPr>
          <w:rFonts w:ascii="Sylfaen" w:hAnsi="Sylfaen"/>
          <w:sz w:val="24"/>
          <w:szCs w:val="24"/>
        </w:rPr>
        <w:t>, თუმცა მისი შიგთავსი, გარსის შიგნით არსებული შემადგე</w:t>
      </w:r>
      <w:r w:rsidR="00E312CE" w:rsidRPr="000C625B">
        <w:rPr>
          <w:rFonts w:ascii="Sylfaen" w:hAnsi="Sylfaen"/>
          <w:sz w:val="24"/>
          <w:szCs w:val="24"/>
        </w:rPr>
        <w:t>ნლობა</w:t>
      </w:r>
      <w:r w:rsidR="00F368C8" w:rsidRPr="000C625B">
        <w:rPr>
          <w:rFonts w:ascii="Sylfaen" w:hAnsi="Sylfaen"/>
          <w:sz w:val="24"/>
          <w:szCs w:val="24"/>
        </w:rPr>
        <w:t xml:space="preserve"> არ შეიცავს ფოლადს. ეს გამოწვეულია იმით, რომ ეგრეთ წოდებული დაფარვის გარსი, ზოგიერთ ვაზნას აქვს ისეთი შემადგენლობით, </w:t>
      </w:r>
      <w:r w:rsidR="00CA585D">
        <w:rPr>
          <w:rFonts w:ascii="Sylfaen" w:hAnsi="Sylfaen"/>
          <w:sz w:val="24"/>
          <w:szCs w:val="24"/>
        </w:rPr>
        <w:t>რომელშიც</w:t>
      </w:r>
      <w:r w:rsidR="00F368C8" w:rsidRPr="000C625B">
        <w:rPr>
          <w:rFonts w:ascii="Sylfaen" w:hAnsi="Sylfaen"/>
          <w:sz w:val="24"/>
          <w:szCs w:val="24"/>
        </w:rPr>
        <w:t xml:space="preserve"> სპილენძთან ერთად </w:t>
      </w:r>
      <w:r w:rsidR="00282A21" w:rsidRPr="000C625B">
        <w:rPr>
          <w:rFonts w:ascii="Sylfaen" w:hAnsi="Sylfaen"/>
          <w:sz w:val="24"/>
          <w:szCs w:val="24"/>
        </w:rPr>
        <w:t>შედის</w:t>
      </w:r>
      <w:r w:rsidR="00F368C8" w:rsidRPr="000C625B">
        <w:rPr>
          <w:rFonts w:ascii="Sylfaen" w:hAnsi="Sylfaen"/>
          <w:sz w:val="24"/>
          <w:szCs w:val="24"/>
        </w:rPr>
        <w:t xml:space="preserve"> მეტალი</w:t>
      </w:r>
      <w:r w:rsidR="00CA585D">
        <w:rPr>
          <w:rFonts w:ascii="Sylfaen" w:hAnsi="Sylfaen"/>
          <w:sz w:val="24"/>
          <w:szCs w:val="24"/>
        </w:rPr>
        <w:t xml:space="preserve"> და</w:t>
      </w:r>
      <w:r w:rsidR="00F368C8" w:rsidRPr="000C625B">
        <w:rPr>
          <w:rFonts w:ascii="Sylfaen" w:hAnsi="Sylfaen"/>
          <w:sz w:val="24"/>
          <w:szCs w:val="24"/>
        </w:rPr>
        <w:t xml:space="preserve"> რომელიც არის დადებითად მორეაგირე </w:t>
      </w:r>
      <w:proofErr w:type="spellStart"/>
      <w:r w:rsidR="00F368C8" w:rsidRPr="000C625B">
        <w:rPr>
          <w:rFonts w:ascii="Sylfaen" w:hAnsi="Sylfaen"/>
          <w:sz w:val="24"/>
          <w:szCs w:val="24"/>
        </w:rPr>
        <w:t>მაგნიტთან</w:t>
      </w:r>
      <w:proofErr w:type="spellEnd"/>
      <w:r w:rsidR="00F368C8" w:rsidRPr="000C625B">
        <w:rPr>
          <w:rFonts w:ascii="Sylfaen" w:hAnsi="Sylfaen"/>
          <w:sz w:val="24"/>
          <w:szCs w:val="24"/>
        </w:rPr>
        <w:t>, აქედან გამომდინარე,</w:t>
      </w:r>
      <w:r w:rsidR="00282A21" w:rsidRPr="000C625B">
        <w:rPr>
          <w:rFonts w:ascii="Sylfaen" w:hAnsi="Sylfaen"/>
          <w:sz w:val="24"/>
          <w:szCs w:val="24"/>
        </w:rPr>
        <w:t xml:space="preserve"> რათა კვლევა იყოს სრულყოფილი,</w:t>
      </w:r>
      <w:r w:rsidR="00F368C8" w:rsidRPr="000C625B">
        <w:rPr>
          <w:rFonts w:ascii="Sylfaen" w:hAnsi="Sylfaen"/>
          <w:sz w:val="24"/>
          <w:szCs w:val="24"/>
        </w:rPr>
        <w:t xml:space="preserve"> სავალდებულო წესით ხდება ვაზნების სრულ</w:t>
      </w:r>
      <w:r w:rsidR="00CA585D">
        <w:rPr>
          <w:rFonts w:ascii="Sylfaen" w:hAnsi="Sylfaen"/>
          <w:sz w:val="24"/>
          <w:szCs w:val="24"/>
        </w:rPr>
        <w:t>ი</w:t>
      </w:r>
      <w:r w:rsidR="00F368C8" w:rsidRPr="000C625B">
        <w:rPr>
          <w:rFonts w:ascii="Sylfaen" w:hAnsi="Sylfaen"/>
          <w:sz w:val="24"/>
          <w:szCs w:val="24"/>
        </w:rPr>
        <w:t xml:space="preserve"> დემონტაჟი</w:t>
      </w:r>
      <w:r w:rsidR="00282A21" w:rsidRPr="000C625B">
        <w:rPr>
          <w:rFonts w:ascii="Sylfaen" w:hAnsi="Sylfaen"/>
          <w:sz w:val="24"/>
          <w:szCs w:val="24"/>
        </w:rPr>
        <w:t>, რომელიც უფრო ზუსტი დასკვნის გაკეთების საშუალებას იძლევა</w:t>
      </w:r>
      <w:r w:rsidR="00CA585D">
        <w:rPr>
          <w:rFonts w:ascii="Sylfaen" w:hAnsi="Sylfaen"/>
          <w:sz w:val="24"/>
          <w:szCs w:val="24"/>
        </w:rPr>
        <w:t>,</w:t>
      </w:r>
      <w:r w:rsidR="00282A21" w:rsidRPr="000C625B">
        <w:rPr>
          <w:rFonts w:ascii="Sylfaen" w:hAnsi="Sylfaen"/>
          <w:sz w:val="24"/>
          <w:szCs w:val="24"/>
        </w:rPr>
        <w:t xml:space="preserve"> ვაზნა</w:t>
      </w:r>
      <w:r w:rsidR="00197739">
        <w:rPr>
          <w:rFonts w:ascii="Sylfaen" w:hAnsi="Sylfaen"/>
          <w:sz w:val="24"/>
          <w:szCs w:val="24"/>
        </w:rPr>
        <w:t xml:space="preserve"> არის</w:t>
      </w:r>
      <w:r w:rsidR="00282A21" w:rsidRPr="000C625B">
        <w:rPr>
          <w:rFonts w:ascii="Sylfaen" w:hAnsi="Sylfaen"/>
          <w:sz w:val="24"/>
          <w:szCs w:val="24"/>
        </w:rPr>
        <w:t xml:space="preserve"> სამხედრო თუ სანადირო დანიშნულების</w:t>
      </w:r>
      <w:r w:rsidR="00197739">
        <w:rPr>
          <w:rFonts w:ascii="Sylfaen" w:hAnsi="Sylfaen"/>
          <w:sz w:val="24"/>
          <w:szCs w:val="24"/>
        </w:rPr>
        <w:t>.</w:t>
      </w:r>
      <w:r w:rsidR="000314CC" w:rsidRPr="000C625B">
        <w:rPr>
          <w:rFonts w:ascii="Sylfaen" w:hAnsi="Sylfaen"/>
          <w:sz w:val="24"/>
          <w:szCs w:val="24"/>
        </w:rPr>
        <w:t xml:space="preserve"> </w:t>
      </w:r>
      <w:r w:rsidR="00E312CE" w:rsidRPr="000C625B">
        <w:rPr>
          <w:rFonts w:ascii="Sylfaen" w:hAnsi="Sylfaen"/>
          <w:sz w:val="24"/>
          <w:szCs w:val="24"/>
        </w:rPr>
        <w:t xml:space="preserve">ექსპერტის მითითებით, </w:t>
      </w:r>
      <w:r w:rsidR="00282A21" w:rsidRPr="000C625B">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განკუთვნილია</w:t>
      </w:r>
      <w:r w:rsidR="00282A21" w:rsidRPr="000C625B">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 xml:space="preserve"> და </w:t>
      </w:r>
      <w:r w:rsidR="00282A21" w:rsidRPr="000C625B">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თავსებადია</w:t>
      </w:r>
      <w:r w:rsidR="00282A21" w:rsidRPr="000C625B">
        <w:rPr>
          <w:rFonts w:ascii="Sylfaen" w:hAnsi="Sylfaen" w:cs="Arial"/>
          <w:sz w:val="24"/>
          <w:szCs w:val="24"/>
          <w:shd w:val="clear" w:color="auto" w:fill="FFFFFF"/>
        </w:rPr>
        <w:t xml:space="preserve">“ </w:t>
      </w:r>
      <w:r w:rsidR="00E312CE" w:rsidRPr="000C625B">
        <w:rPr>
          <w:rFonts w:ascii="Sylfaen" w:hAnsi="Sylfaen" w:cs="Arial"/>
          <w:sz w:val="24"/>
          <w:szCs w:val="24"/>
          <w:shd w:val="clear" w:color="auto" w:fill="FFFFFF"/>
        </w:rPr>
        <w:t xml:space="preserve">არის აბსოლუტურად ერთმანეთისგან განსხვავებული ტერმინები და ისინი შინაარსობრივადაც განსხვავდება </w:t>
      </w:r>
      <w:r w:rsidR="00E312CE" w:rsidRPr="000C625B">
        <w:rPr>
          <w:rFonts w:ascii="Sylfaen" w:hAnsi="Sylfaen" w:cs="Arial"/>
          <w:sz w:val="24"/>
          <w:szCs w:val="24"/>
          <w:shd w:val="clear" w:color="auto" w:fill="FFFFFF"/>
        </w:rPr>
        <w:lastRenderedPageBreak/>
        <w:t>ერთმანეთისგან.</w:t>
      </w:r>
      <w:r w:rsidR="0090735D" w:rsidRPr="000C625B">
        <w:rPr>
          <w:rFonts w:ascii="Sylfaen" w:hAnsi="Sylfaen" w:cs="Arial"/>
          <w:sz w:val="24"/>
          <w:szCs w:val="24"/>
          <w:shd w:val="clear" w:color="auto" w:fill="FFFFFF"/>
        </w:rPr>
        <w:t xml:space="preserve"> „</w:t>
      </w:r>
      <w:r w:rsidR="00E312CE" w:rsidRPr="000C625B">
        <w:rPr>
          <w:rFonts w:ascii="Sylfaen" w:hAnsi="Sylfaen" w:cs="Arial"/>
          <w:sz w:val="24"/>
          <w:szCs w:val="24"/>
          <w:shd w:val="clear" w:color="auto" w:fill="FFFFFF"/>
        </w:rPr>
        <w:t xml:space="preserve">განკუთვნილია“ ნიშნავს, როდესაც კონკრეტული </w:t>
      </w:r>
      <w:r w:rsidR="00197739">
        <w:rPr>
          <w:rFonts w:ascii="Sylfaen" w:hAnsi="Sylfaen" w:cs="Arial"/>
          <w:sz w:val="24"/>
          <w:szCs w:val="24"/>
          <w:shd w:val="clear" w:color="auto" w:fill="FFFFFF"/>
        </w:rPr>
        <w:t xml:space="preserve">ვაზნის </w:t>
      </w:r>
      <w:r w:rsidR="00E312CE" w:rsidRPr="000C625B">
        <w:rPr>
          <w:rFonts w:ascii="Sylfaen" w:hAnsi="Sylfaen" w:cs="Arial"/>
          <w:sz w:val="24"/>
          <w:szCs w:val="24"/>
          <w:shd w:val="clear" w:color="auto" w:fill="FFFFFF"/>
        </w:rPr>
        <w:t>სახეობა</w:t>
      </w:r>
      <w:r w:rsidR="00197739">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 xml:space="preserve"> მაგალითად</w:t>
      </w:r>
      <w:r w:rsidR="00197739">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 xml:space="preserve"> სანადირო დანიშნულების ვაზნა</w:t>
      </w:r>
      <w:r w:rsidR="0090735D" w:rsidRPr="000C625B">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 xml:space="preserve"> განკუთვნილია სანადირო დანიშნულების იარაღიდან სასროლად, სამხედრო სპეციალური დანიშნულების ვაზნები განკუთვნილია შესაბამისი სამხედრო დანიშნულების იარაღიდან სასროლად. ერთი</w:t>
      </w:r>
      <w:r w:rsidR="00197739">
        <w:rPr>
          <w:rFonts w:ascii="Sylfaen" w:hAnsi="Sylfaen" w:cs="Arial"/>
          <w:sz w:val="24"/>
          <w:szCs w:val="24"/>
          <w:shd w:val="clear" w:color="auto" w:fill="FFFFFF"/>
        </w:rPr>
        <w:t xml:space="preserve"> </w:t>
      </w:r>
      <w:r w:rsidR="00E312CE" w:rsidRPr="000C625B">
        <w:rPr>
          <w:rFonts w:ascii="Sylfaen" w:hAnsi="Sylfaen" w:cs="Arial"/>
          <w:sz w:val="24"/>
          <w:szCs w:val="24"/>
          <w:shd w:val="clear" w:color="auto" w:fill="FFFFFF"/>
        </w:rPr>
        <w:t>მიზნისთვის დამზადებული</w:t>
      </w:r>
      <w:r w:rsidR="00197739">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 xml:space="preserve"> მეორე სახეობის ვაზნა, რომელიც თავსებადია იარაღში, ტექნიკურად</w:t>
      </w:r>
      <w:r w:rsidR="0090735D" w:rsidRPr="000C625B">
        <w:rPr>
          <w:rFonts w:ascii="Sylfaen" w:hAnsi="Sylfaen" w:cs="Arial"/>
          <w:sz w:val="24"/>
          <w:szCs w:val="24"/>
          <w:shd w:val="clear" w:color="auto" w:fill="FFFFFF"/>
        </w:rPr>
        <w:t xml:space="preserve"> მისი</w:t>
      </w:r>
      <w:r w:rsidR="00E312CE" w:rsidRPr="000C625B">
        <w:rPr>
          <w:rFonts w:ascii="Sylfaen" w:hAnsi="Sylfaen" w:cs="Arial"/>
          <w:sz w:val="24"/>
          <w:szCs w:val="24"/>
          <w:shd w:val="clear" w:color="auto" w:fill="FFFFFF"/>
        </w:rPr>
        <w:t xml:space="preserve"> გასროლა შესაძლებელია</w:t>
      </w:r>
      <w:r w:rsidR="0090735D" w:rsidRPr="000C625B">
        <w:rPr>
          <w:rFonts w:ascii="Sylfaen" w:hAnsi="Sylfaen" w:cs="Arial"/>
          <w:sz w:val="24"/>
          <w:szCs w:val="24"/>
          <w:shd w:val="clear" w:color="auto" w:fill="FFFFFF"/>
        </w:rPr>
        <w:t xml:space="preserve"> აღნიშნული იარაღიდან.</w:t>
      </w:r>
      <w:r w:rsidR="00E312CE" w:rsidRPr="000C625B">
        <w:rPr>
          <w:rFonts w:ascii="Sylfaen" w:hAnsi="Sylfaen" w:cs="Arial"/>
          <w:sz w:val="24"/>
          <w:szCs w:val="24"/>
          <w:shd w:val="clear" w:color="auto" w:fill="FFFFFF"/>
        </w:rPr>
        <w:t xml:space="preserve"> მაგალითად</w:t>
      </w:r>
      <w:r w:rsidR="0090735D" w:rsidRPr="000C625B">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 xml:space="preserve"> როდესაც პიროვნება მართლზომიერად ფლობს სანადირო დანიშნულების ცეცხლსასროლ იარაღს, მაგრამ მან მოახდინა აღნიშნული იარაღიდან სამხედრო, მათ შორის</w:t>
      </w:r>
      <w:r w:rsidR="00197739">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 xml:space="preserve"> სპეციალური დანიშნულების ტიპის ვაზნის გამოყენება-გასროლა. შესაბამისად</w:t>
      </w:r>
      <w:r w:rsidR="0090735D" w:rsidRPr="000C625B">
        <w:rPr>
          <w:rFonts w:ascii="Sylfaen" w:hAnsi="Sylfaen" w:cs="Arial"/>
          <w:sz w:val="24"/>
          <w:szCs w:val="24"/>
          <w:shd w:val="clear" w:color="auto" w:fill="FFFFFF"/>
        </w:rPr>
        <w:t>,</w:t>
      </w:r>
      <w:r w:rsidR="00E312CE" w:rsidRPr="000C625B">
        <w:rPr>
          <w:rFonts w:ascii="Sylfaen" w:hAnsi="Sylfaen" w:cs="Arial"/>
          <w:sz w:val="24"/>
          <w:szCs w:val="24"/>
          <w:shd w:val="clear" w:color="auto" w:fill="FFFFFF"/>
        </w:rPr>
        <w:t xml:space="preserve"> აღნიშნული ტექნიკურად შესაძლებელია, მაგრამ ეს ეწინააღმდეგება კანონს. ექსპერტის მითითებით, სამხედრო დანიშნულების ვაზნა, რომელსაც არ აქვს ფოლადის </w:t>
      </w:r>
      <w:r w:rsidR="00792513" w:rsidRPr="000C625B">
        <w:rPr>
          <w:rFonts w:ascii="Sylfaen" w:hAnsi="Sylfaen" w:cs="Arial"/>
          <w:sz w:val="24"/>
          <w:szCs w:val="24"/>
          <w:shd w:val="clear" w:color="auto" w:fill="FFFFFF"/>
        </w:rPr>
        <w:t>გულარი</w:t>
      </w:r>
      <w:r w:rsidR="00E312CE" w:rsidRPr="000C625B">
        <w:rPr>
          <w:rFonts w:ascii="Sylfaen" w:hAnsi="Sylfaen" w:cs="Arial"/>
          <w:sz w:val="24"/>
          <w:szCs w:val="24"/>
          <w:shd w:val="clear" w:color="auto" w:fill="FFFFFF"/>
        </w:rPr>
        <w:t xml:space="preserve">, პრაქტიკაში არ </w:t>
      </w:r>
      <w:proofErr w:type="spellStart"/>
      <w:r w:rsidR="0090735D" w:rsidRPr="000C625B">
        <w:rPr>
          <w:rFonts w:ascii="Sylfaen" w:hAnsi="Sylfaen" w:cs="Arial"/>
          <w:sz w:val="24"/>
          <w:szCs w:val="24"/>
          <w:shd w:val="clear" w:color="auto" w:fill="FFFFFF"/>
        </w:rPr>
        <w:t>შე</w:t>
      </w:r>
      <w:r w:rsidR="00197739">
        <w:rPr>
          <w:rFonts w:ascii="Sylfaen" w:hAnsi="Sylfaen" w:cs="Arial"/>
          <w:sz w:val="24"/>
          <w:szCs w:val="24"/>
          <w:shd w:val="clear" w:color="auto" w:fill="FFFFFF"/>
        </w:rPr>
        <w:t>გ</w:t>
      </w:r>
      <w:r w:rsidR="0090735D" w:rsidRPr="000C625B">
        <w:rPr>
          <w:rFonts w:ascii="Sylfaen" w:hAnsi="Sylfaen" w:cs="Arial"/>
          <w:sz w:val="24"/>
          <w:szCs w:val="24"/>
          <w:shd w:val="clear" w:color="auto" w:fill="FFFFFF"/>
        </w:rPr>
        <w:t>ხვედრია</w:t>
      </w:r>
      <w:proofErr w:type="spellEnd"/>
      <w:r w:rsidR="0090735D" w:rsidRPr="000C625B">
        <w:rPr>
          <w:rFonts w:ascii="Sylfaen" w:hAnsi="Sylfaen" w:cs="Arial"/>
          <w:sz w:val="24"/>
          <w:szCs w:val="24"/>
          <w:shd w:val="clear" w:color="auto" w:fill="FFFFFF"/>
        </w:rPr>
        <w:t>.</w:t>
      </w:r>
    </w:p>
    <w:p w14:paraId="1EC75775" w14:textId="29D60ED8" w:rsidR="003D057F" w:rsidRDefault="003D057F" w:rsidP="003D057F">
      <w:pPr>
        <w:spacing w:after="0"/>
        <w:contextualSpacing/>
        <w:jc w:val="both"/>
        <w:rPr>
          <w:rFonts w:ascii="Sylfaen" w:hAnsi="Sylfaen" w:cs="Calibri"/>
          <w:b/>
          <w:bCs/>
          <w:sz w:val="24"/>
          <w:szCs w:val="24"/>
        </w:rPr>
      </w:pPr>
    </w:p>
    <w:p w14:paraId="14043715" w14:textId="77777777" w:rsidR="00AC3F6F" w:rsidRPr="000C625B" w:rsidRDefault="00AC3F6F" w:rsidP="003D057F">
      <w:pPr>
        <w:spacing w:after="0"/>
        <w:contextualSpacing/>
        <w:jc w:val="both"/>
        <w:rPr>
          <w:rFonts w:ascii="Sylfaen" w:hAnsi="Sylfaen" w:cs="Calibri"/>
          <w:b/>
          <w:bCs/>
          <w:sz w:val="24"/>
          <w:szCs w:val="24"/>
        </w:rPr>
      </w:pPr>
    </w:p>
    <w:p w14:paraId="6072F134" w14:textId="0259CCD3" w:rsidR="00B72E7B" w:rsidRDefault="00B72E7B" w:rsidP="00AC3F6F">
      <w:pPr>
        <w:pStyle w:val="Heading1"/>
        <w:spacing w:before="0"/>
        <w:rPr>
          <w:szCs w:val="24"/>
          <w:lang w:val="ka-GE"/>
        </w:rPr>
      </w:pPr>
      <w:r w:rsidRPr="000C625B">
        <w:rPr>
          <w:szCs w:val="24"/>
          <w:lang w:val="ka-GE"/>
        </w:rPr>
        <w:t>II</w:t>
      </w:r>
      <w:r w:rsidR="00203748" w:rsidRPr="000C625B">
        <w:rPr>
          <w:szCs w:val="24"/>
          <w:lang w:val="ka-GE"/>
        </w:rPr>
        <w:br/>
      </w:r>
      <w:proofErr w:type="spellStart"/>
      <w:r w:rsidRPr="000C625B">
        <w:rPr>
          <w:szCs w:val="24"/>
          <w:lang w:val="ka-GE"/>
        </w:rPr>
        <w:t>სამოტივაციო</w:t>
      </w:r>
      <w:proofErr w:type="spellEnd"/>
      <w:r w:rsidRPr="000C625B">
        <w:rPr>
          <w:szCs w:val="24"/>
          <w:lang w:val="ka-GE"/>
        </w:rPr>
        <w:t xml:space="preserve"> ნაწილი</w:t>
      </w:r>
    </w:p>
    <w:p w14:paraId="4A137E50" w14:textId="77777777" w:rsidR="00AC3F6F" w:rsidRPr="00BA723B" w:rsidRDefault="00AC3F6F" w:rsidP="00BA723B">
      <w:pPr>
        <w:spacing w:after="0"/>
      </w:pPr>
    </w:p>
    <w:p w14:paraId="349C3F98" w14:textId="0930C334" w:rsidR="00483E0E" w:rsidRPr="000C625B" w:rsidRDefault="00E64A35">
      <w:pPr>
        <w:pStyle w:val="ListParagraph"/>
        <w:numPr>
          <w:ilvl w:val="0"/>
          <w:numId w:val="2"/>
        </w:numPr>
        <w:spacing w:after="0"/>
        <w:ind w:left="0" w:firstLine="284"/>
        <w:jc w:val="both"/>
        <w:rPr>
          <w:rFonts w:ascii="Sylfaen" w:hAnsi="Sylfaen" w:cs="Calibri"/>
          <w:sz w:val="24"/>
          <w:szCs w:val="24"/>
        </w:rPr>
      </w:pPr>
      <w:r w:rsidRPr="000C625B">
        <w:rPr>
          <w:rFonts w:ascii="Sylfaen" w:hAnsi="Sylfaen" w:cs="Calibri"/>
          <w:sz w:val="24"/>
          <w:szCs w:val="24"/>
        </w:rPr>
        <w:t>კონსტიტუციური</w:t>
      </w:r>
      <w:r w:rsidR="00A71B44" w:rsidRPr="000C625B">
        <w:rPr>
          <w:rFonts w:ascii="Sylfaen" w:hAnsi="Sylfaen" w:cs="Calibri"/>
          <w:sz w:val="24"/>
          <w:szCs w:val="24"/>
        </w:rPr>
        <w:t xml:space="preserve">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w:t>
      </w:r>
      <w:r w:rsidR="00FE105A" w:rsidRPr="000C625B">
        <w:rPr>
          <w:rFonts w:ascii="Sylfaen" w:hAnsi="Sylfaen" w:cs="Calibri"/>
          <w:sz w:val="24"/>
          <w:szCs w:val="24"/>
        </w:rPr>
        <w:t xml:space="preserve"> 31</w:t>
      </w:r>
      <w:r w:rsidR="00FE105A" w:rsidRPr="000C625B">
        <w:rPr>
          <w:rFonts w:ascii="Sylfaen" w:hAnsi="Sylfaen" w:cs="Calibri"/>
          <w:sz w:val="24"/>
          <w:szCs w:val="24"/>
          <w:vertAlign w:val="superscript"/>
        </w:rPr>
        <w:t>1</w:t>
      </w:r>
      <w:r w:rsidR="00A71B44" w:rsidRPr="000C625B">
        <w:rPr>
          <w:rFonts w:ascii="Sylfaen" w:hAnsi="Sylfaen" w:cs="Calibri"/>
          <w:sz w:val="24"/>
          <w:szCs w:val="24"/>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w:t>
      </w:r>
      <w:r w:rsidR="00810DC4">
        <w:rPr>
          <w:rFonts w:ascii="Sylfaen" w:hAnsi="Sylfaen" w:cs="Calibri"/>
          <w:sz w:val="24"/>
          <w:szCs w:val="24"/>
        </w:rPr>
        <w:t>ე</w:t>
      </w:r>
      <w:r w:rsidR="00A71B44" w:rsidRPr="000C625B">
        <w:rPr>
          <w:rFonts w:ascii="Sylfaen" w:hAnsi="Sylfaen" w:cs="Calibri"/>
          <w:sz w:val="24"/>
          <w:szCs w:val="24"/>
        </w:rPr>
        <w:t xml:space="preserve">ლიც ადასტურებს სარჩელის საფუძვლიანობას. საქართველოს საკონსტიტუციო სასამართლოს განმარტებით,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w:t>
      </w:r>
      <w:r w:rsidR="00A71B44" w:rsidRPr="000C625B">
        <w:rPr>
          <w:rFonts w:ascii="Times New Roman" w:hAnsi="Times New Roman"/>
          <w:sz w:val="24"/>
          <w:szCs w:val="24"/>
        </w:rPr>
        <w:t>‒</w:t>
      </w:r>
      <w:r w:rsidR="00A71B44" w:rsidRPr="000C625B">
        <w:rPr>
          <w:rFonts w:ascii="Sylfaen" w:hAnsi="Sylfaen" w:cs="Calibri"/>
          <w:sz w:val="24"/>
          <w:szCs w:val="24"/>
        </w:rPr>
        <w:t xml:space="preserve"> შალვა ნათელაშვილი და გიორგი გუგავა საქართველოს პარლამენტის წინააღმდეგ“, II-9). იმავდროულად,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w:t>
      </w:r>
      <w:r w:rsidR="00810DC4">
        <w:rPr>
          <w:rFonts w:ascii="Sylfaen" w:hAnsi="Sylfaen" w:cs="Calibri"/>
          <w:sz w:val="24"/>
          <w:szCs w:val="24"/>
        </w:rPr>
        <w:t>,</w:t>
      </w:r>
      <w:r w:rsidR="00A71B44" w:rsidRPr="000C625B">
        <w:rPr>
          <w:rFonts w:ascii="Sylfaen" w:hAnsi="Sylfaen" w:cs="Calibri"/>
          <w:sz w:val="24"/>
          <w:szCs w:val="24"/>
        </w:rPr>
        <w:t xml:space="preserve"> მოსარჩელე მოითხოვს სადავო ნორმების არაკონსტიტუციურად ცნობას“ (საქართველოს საკონსტიტუციო სასამართლოს </w:t>
      </w:r>
      <w:r w:rsidR="00A71B44" w:rsidRPr="000C625B">
        <w:rPr>
          <w:rFonts w:ascii="Sylfaen" w:hAnsi="Sylfaen" w:cs="Calibri"/>
          <w:sz w:val="24"/>
          <w:szCs w:val="24"/>
        </w:rPr>
        <w:lastRenderedPageBreak/>
        <w:t>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„საქართველოს საკონსტიტუციო სასამართლოს შესახებ“ საქართველოს ორგანული კანონის</w:t>
      </w:r>
      <w:r w:rsidR="00FE105A" w:rsidRPr="000C625B">
        <w:rPr>
          <w:rFonts w:ascii="Sylfaen" w:hAnsi="Sylfaen" w:cs="Calibri"/>
          <w:sz w:val="24"/>
          <w:szCs w:val="24"/>
        </w:rPr>
        <w:t xml:space="preserve"> 31</w:t>
      </w:r>
      <w:r w:rsidR="00FE105A" w:rsidRPr="000C625B">
        <w:rPr>
          <w:rFonts w:ascii="Sylfaen" w:hAnsi="Sylfaen" w:cs="Calibri"/>
          <w:sz w:val="24"/>
          <w:szCs w:val="24"/>
          <w:vertAlign w:val="superscript"/>
        </w:rPr>
        <w:t>3</w:t>
      </w:r>
      <w:r w:rsidR="00A71B44" w:rsidRPr="000C625B">
        <w:rPr>
          <w:rFonts w:ascii="Sylfaen" w:hAnsi="Sylfaen" w:cs="Calibri"/>
          <w:sz w:val="24"/>
          <w:szCs w:val="24"/>
        </w:rPr>
        <w:t xml:space="preserve"> მუხლის პირველი პუნქტის „ა“ ქვეპუნქტის საფუძველზე, კონსტიტუციური სარჩელი ჩაითვლება დაუსაბუთებლად და არ მიიღება არსებითად განსახილველად.</w:t>
      </w:r>
    </w:p>
    <w:p w14:paraId="69406CAE" w14:textId="2EBD451C" w:rsidR="00141DED" w:rsidRPr="000C625B" w:rsidRDefault="00141DED" w:rsidP="00483E0E">
      <w:pPr>
        <w:pStyle w:val="ListParagraph"/>
        <w:numPr>
          <w:ilvl w:val="0"/>
          <w:numId w:val="2"/>
        </w:numPr>
        <w:spacing w:after="0"/>
        <w:ind w:left="0" w:firstLine="284"/>
        <w:jc w:val="both"/>
        <w:rPr>
          <w:rFonts w:ascii="Sylfaen" w:hAnsi="Sylfaen" w:cs="Calibri"/>
          <w:sz w:val="24"/>
          <w:szCs w:val="24"/>
        </w:rPr>
      </w:pPr>
      <w:r w:rsidRPr="000C625B">
        <w:rPr>
          <w:rFonts w:ascii="Sylfaen" w:hAnsi="Sylfaen" w:cs="Calibri"/>
          <w:sz w:val="24"/>
          <w:szCs w:val="24"/>
        </w:rPr>
        <w:t>მოსარჩელე მხარე სადავო ნორმების არაკონსტიტუციურად ცნობას ითხოვს საქართველოს კონსტიტუციის 31-ე მუხლის მე-9 პუნქტის პირველ წინადადებასთან მიმართებით, რომლის თანახმად, არავინ აგებს პასუხს ქმედებისთვის, რომელიც მისი ჩადენის დროს სამართალდარღვევად არ ითვლებოდა.</w:t>
      </w:r>
    </w:p>
    <w:p w14:paraId="67962D78" w14:textId="2FEF4323" w:rsidR="00FE2F2A" w:rsidRPr="000C625B" w:rsidRDefault="00FE2F2A" w:rsidP="00483E0E">
      <w:pPr>
        <w:pStyle w:val="ListParagraph"/>
        <w:numPr>
          <w:ilvl w:val="0"/>
          <w:numId w:val="2"/>
        </w:numPr>
        <w:spacing w:after="0"/>
        <w:ind w:left="0" w:firstLine="284"/>
        <w:jc w:val="both"/>
        <w:rPr>
          <w:rFonts w:ascii="Sylfaen" w:hAnsi="Sylfaen" w:cs="Calibri"/>
          <w:sz w:val="24"/>
          <w:szCs w:val="24"/>
        </w:rPr>
      </w:pPr>
      <w:r w:rsidRPr="000C625B">
        <w:rPr>
          <w:rFonts w:ascii="Sylfaen" w:hAnsi="Sylfaen" w:cs="Calibri"/>
          <w:sz w:val="24"/>
          <w:szCs w:val="24"/>
        </w:rPr>
        <w:t xml:space="preserve">საქართველოს საკონსტიტუციო სასამართლოს განმარტებით, კონსტიტუციის 31-ე მუხლის მე-9 პუნქტის პირველი წინადადების ერთ-ერთ უმთავრეს მოთხოვნას წარმოადგენს პასუხისმგებლობის დამდგენი კანონის განსაზღვრულობა. </w:t>
      </w:r>
      <w:r w:rsidR="00E068BD" w:rsidRPr="000C625B">
        <w:rPr>
          <w:rFonts w:ascii="Sylfaen" w:hAnsi="Sylfaen" w:cs="Calibri"/>
          <w:sz w:val="24"/>
          <w:szCs w:val="24"/>
        </w:rPr>
        <w:t xml:space="preserve">პასუხისმგებლობის დამდგენ ნორმათა განსაზღვრულობის მოთხოვნის მთავარი დანიშნულებაა, კანონის ადრესატმა შეძლოს მისი შინაარსის სწორი აღქმა, აკრძალვის იდენტიფიცირება და შესაბამისი სამართლებრივი შედეგების განჭვრეტა. ამ მიზნის მისაღწევად კი „აუცილებელია ნორმის შინაარსობრივი სიზუსტე, </w:t>
      </w:r>
      <w:proofErr w:type="spellStart"/>
      <w:r w:rsidR="00E068BD" w:rsidRPr="000C625B">
        <w:rPr>
          <w:rFonts w:ascii="Sylfaen" w:hAnsi="Sylfaen" w:cs="Calibri"/>
          <w:sz w:val="24"/>
          <w:szCs w:val="24"/>
        </w:rPr>
        <w:t>არაორაზროვნება</w:t>
      </w:r>
      <w:proofErr w:type="spellEnd"/>
      <w:r w:rsidR="00E068BD" w:rsidRPr="000C625B">
        <w:rPr>
          <w:rFonts w:ascii="Sylfaen" w:hAnsi="Sylfaen" w:cs="Calibri"/>
          <w:sz w:val="24"/>
          <w:szCs w:val="24"/>
        </w:rPr>
        <w:t>.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 „პასუხისმგებლობის დამდგენი ნორმების შემუშავებისას კანონმდებელს მოეთხოვება საკუთარი ნების, მიზნების იმგვარად ჩამოყალიბება, რომ მაქსიმალურად შემცირდეს მისი სხვადასხვაგვარი ინტერპრეტაციის შედეგად განსხვავებული სამართლებრივი შედეგების დადგომის შესაძლებლობა</w:t>
      </w:r>
      <w:r w:rsidRPr="000C625B">
        <w:rPr>
          <w:rFonts w:ascii="Sylfaen" w:hAnsi="Sylfaen" w:cs="Calibri"/>
          <w:sz w:val="24"/>
          <w:szCs w:val="24"/>
        </w:rPr>
        <w:t>“ (საქართველოს საკონსტიტუციო სასამართლოს 2021 წლის 15 ივლისის №2/1/1289 გადაწყვეტილება საქმეზე „გიორგი ბერუაშვილი საქართველოს პარლამენტის წინააღმდეგ“, II-</w:t>
      </w:r>
      <w:r w:rsidR="00E068BD" w:rsidRPr="000C625B">
        <w:rPr>
          <w:rFonts w:ascii="Sylfaen" w:hAnsi="Sylfaen" w:cs="Calibri"/>
          <w:sz w:val="24"/>
          <w:szCs w:val="24"/>
        </w:rPr>
        <w:t>1</w:t>
      </w:r>
      <w:r w:rsidRPr="000C625B">
        <w:rPr>
          <w:rFonts w:ascii="Sylfaen" w:hAnsi="Sylfaen" w:cs="Calibri"/>
          <w:sz w:val="24"/>
          <w:szCs w:val="24"/>
        </w:rPr>
        <w:t>4).</w:t>
      </w:r>
    </w:p>
    <w:p w14:paraId="075B41C5" w14:textId="77777777" w:rsidR="00F27BA0" w:rsidRPr="000C625B" w:rsidRDefault="00E4665A" w:rsidP="00F27BA0">
      <w:pPr>
        <w:pStyle w:val="ListParagraph"/>
        <w:numPr>
          <w:ilvl w:val="0"/>
          <w:numId w:val="2"/>
        </w:numPr>
        <w:spacing w:after="0"/>
        <w:ind w:left="0" w:firstLine="284"/>
        <w:jc w:val="both"/>
        <w:rPr>
          <w:rFonts w:ascii="Sylfaen" w:hAnsi="Sylfaen" w:cs="Calibri"/>
          <w:sz w:val="24"/>
          <w:szCs w:val="24"/>
        </w:rPr>
      </w:pPr>
      <w:r w:rsidRPr="000C625B">
        <w:rPr>
          <w:rFonts w:ascii="Sylfaen" w:hAnsi="Sylfaen" w:cs="Calibri"/>
          <w:sz w:val="24"/>
          <w:szCs w:val="24"/>
        </w:rPr>
        <w:t xml:space="preserve">მოსარჩელის განმარტებით, </w:t>
      </w:r>
      <w:r w:rsidRPr="000C625B">
        <w:rPr>
          <w:rFonts w:ascii="Sylfaen" w:hAnsi="Sylfaen"/>
          <w:sz w:val="24"/>
          <w:szCs w:val="24"/>
        </w:rPr>
        <w:t xml:space="preserve">„იარაღის შესახებ“ საქართველოს კანონის მე-19 მუხლის მე-2 პუნქტის „ბ“ ქვეპუნქტი იმგვარადაა ფორმულირებული, რომ იწვევს </w:t>
      </w:r>
      <w:r w:rsidR="00E068BD" w:rsidRPr="000C625B">
        <w:rPr>
          <w:rFonts w:ascii="Sylfaen" w:hAnsi="Sylfaen"/>
          <w:sz w:val="24"/>
          <w:szCs w:val="24"/>
        </w:rPr>
        <w:t>ურთიერთსაწინააღმდეგო</w:t>
      </w:r>
      <w:r w:rsidRPr="000C625B">
        <w:rPr>
          <w:rFonts w:ascii="Sylfaen" w:hAnsi="Sylfaen"/>
          <w:sz w:val="24"/>
          <w:szCs w:val="24"/>
        </w:rPr>
        <w:t xml:space="preserve"> </w:t>
      </w:r>
      <w:r w:rsidR="00E068BD" w:rsidRPr="000C625B">
        <w:rPr>
          <w:rFonts w:ascii="Sylfaen" w:hAnsi="Sylfaen"/>
          <w:sz w:val="24"/>
          <w:szCs w:val="24"/>
        </w:rPr>
        <w:t>განმარტებების გაკეთების შესაძლებლობას. ამასთან, მოსარჩელე არ იზიარებს სადავო ნორმის იმ ნორმატიულ შინაარსს, რომელიც მასში საერთო სასამართლომ ამოიკითხა</w:t>
      </w:r>
      <w:r w:rsidR="00F27BA0" w:rsidRPr="000C625B">
        <w:rPr>
          <w:rFonts w:ascii="Sylfaen" w:hAnsi="Sylfaen"/>
          <w:sz w:val="24"/>
          <w:szCs w:val="24"/>
        </w:rPr>
        <w:t xml:space="preserve"> და აცხადებს, რომ მისთვის წინასწარ შეუძლებელი იყო</w:t>
      </w:r>
      <w:r w:rsidR="00810DC4">
        <w:rPr>
          <w:rFonts w:ascii="Sylfaen" w:hAnsi="Sylfaen"/>
          <w:sz w:val="24"/>
          <w:szCs w:val="24"/>
        </w:rPr>
        <w:t>,</w:t>
      </w:r>
      <w:r w:rsidR="00F27BA0" w:rsidRPr="000C625B">
        <w:rPr>
          <w:rFonts w:ascii="Sylfaen" w:hAnsi="Sylfaen"/>
          <w:sz w:val="24"/>
          <w:szCs w:val="24"/>
        </w:rPr>
        <w:t xml:space="preserve"> სადავო </w:t>
      </w:r>
      <w:r w:rsidR="0028638E" w:rsidRPr="000C625B">
        <w:rPr>
          <w:rFonts w:ascii="Sylfaen" w:hAnsi="Sylfaen"/>
          <w:sz w:val="24"/>
          <w:szCs w:val="24"/>
        </w:rPr>
        <w:t>ნორმაში</w:t>
      </w:r>
      <w:r w:rsidR="00F27BA0" w:rsidRPr="000C625B">
        <w:rPr>
          <w:rFonts w:ascii="Sylfaen" w:hAnsi="Sylfaen"/>
          <w:sz w:val="24"/>
          <w:szCs w:val="24"/>
        </w:rPr>
        <w:t xml:space="preserve"> </w:t>
      </w:r>
      <w:r w:rsidR="00D523A3" w:rsidRPr="000C625B">
        <w:rPr>
          <w:rFonts w:ascii="Sylfaen" w:hAnsi="Sylfaen"/>
          <w:sz w:val="24"/>
          <w:szCs w:val="24"/>
        </w:rPr>
        <w:t>მსგავსი</w:t>
      </w:r>
      <w:r w:rsidR="00F27BA0" w:rsidRPr="000C625B">
        <w:rPr>
          <w:rFonts w:ascii="Sylfaen" w:hAnsi="Sylfaen"/>
          <w:sz w:val="24"/>
          <w:szCs w:val="24"/>
        </w:rPr>
        <w:t xml:space="preserve"> შინაარს</w:t>
      </w:r>
      <w:r w:rsidR="0028638E" w:rsidRPr="000C625B">
        <w:rPr>
          <w:rFonts w:ascii="Sylfaen" w:hAnsi="Sylfaen"/>
          <w:sz w:val="24"/>
          <w:szCs w:val="24"/>
        </w:rPr>
        <w:t>ის</w:t>
      </w:r>
      <w:r w:rsidR="00F27BA0" w:rsidRPr="000C625B">
        <w:rPr>
          <w:rFonts w:ascii="Sylfaen" w:hAnsi="Sylfaen"/>
          <w:sz w:val="24"/>
          <w:szCs w:val="24"/>
        </w:rPr>
        <w:t xml:space="preserve"> </w:t>
      </w:r>
      <w:r w:rsidR="0028638E" w:rsidRPr="000C625B">
        <w:rPr>
          <w:rFonts w:ascii="Sylfaen" w:hAnsi="Sylfaen"/>
          <w:sz w:val="24"/>
          <w:szCs w:val="24"/>
        </w:rPr>
        <w:t>ამოკითხვა</w:t>
      </w:r>
      <w:r w:rsidR="00D523A3" w:rsidRPr="000C625B">
        <w:rPr>
          <w:rFonts w:ascii="Sylfaen" w:hAnsi="Sylfaen"/>
          <w:sz w:val="24"/>
          <w:szCs w:val="24"/>
        </w:rPr>
        <w:t xml:space="preserve"> და, შესაბამისად, </w:t>
      </w:r>
      <w:r w:rsidR="000E19E1" w:rsidRPr="000C625B">
        <w:rPr>
          <w:rFonts w:ascii="Sylfaen" w:hAnsi="Sylfaen"/>
          <w:sz w:val="24"/>
          <w:szCs w:val="24"/>
        </w:rPr>
        <w:t>სასამართლოს მიერ დანაშაულად მიჩნეული ქმედების</w:t>
      </w:r>
      <w:r w:rsidR="00D523A3" w:rsidRPr="000C625B">
        <w:rPr>
          <w:rFonts w:ascii="Sylfaen" w:hAnsi="Sylfaen"/>
          <w:sz w:val="24"/>
          <w:szCs w:val="24"/>
        </w:rPr>
        <w:t xml:space="preserve"> </w:t>
      </w:r>
      <w:r w:rsidR="000E19E1" w:rsidRPr="000C625B">
        <w:rPr>
          <w:rFonts w:ascii="Sylfaen" w:hAnsi="Sylfaen"/>
          <w:sz w:val="24"/>
          <w:szCs w:val="24"/>
        </w:rPr>
        <w:t xml:space="preserve">ჩადენისაგან </w:t>
      </w:r>
      <w:r w:rsidR="00C5179A" w:rsidRPr="000C625B">
        <w:rPr>
          <w:rFonts w:ascii="Sylfaen" w:hAnsi="Sylfaen"/>
          <w:sz w:val="24"/>
          <w:szCs w:val="24"/>
        </w:rPr>
        <w:t>თავის</w:t>
      </w:r>
      <w:r w:rsidR="00D523A3" w:rsidRPr="000C625B">
        <w:rPr>
          <w:rFonts w:ascii="Sylfaen" w:hAnsi="Sylfaen"/>
          <w:sz w:val="24"/>
          <w:szCs w:val="24"/>
        </w:rPr>
        <w:t xml:space="preserve"> არიდება.</w:t>
      </w:r>
    </w:p>
    <w:p w14:paraId="52F6C8A1" w14:textId="77777777" w:rsidR="00F27BA0" w:rsidRPr="000C625B" w:rsidRDefault="00F27BA0" w:rsidP="00F27BA0">
      <w:pPr>
        <w:pStyle w:val="ListParagraph"/>
        <w:numPr>
          <w:ilvl w:val="0"/>
          <w:numId w:val="2"/>
        </w:numPr>
        <w:spacing w:after="0"/>
        <w:ind w:left="0" w:firstLine="284"/>
        <w:jc w:val="both"/>
        <w:rPr>
          <w:rFonts w:ascii="Sylfaen" w:hAnsi="Sylfaen" w:cs="Calibri"/>
          <w:sz w:val="24"/>
          <w:szCs w:val="24"/>
        </w:rPr>
      </w:pPr>
      <w:r w:rsidRPr="000C625B">
        <w:rPr>
          <w:rFonts w:ascii="Sylfaen" w:hAnsi="Sylfaen" w:cs="Sylfaen"/>
          <w:sz w:val="24"/>
          <w:szCs w:val="24"/>
        </w:rPr>
        <w:lastRenderedPageBreak/>
        <w:t>საქართველოს</w:t>
      </w:r>
      <w:r w:rsidRPr="000C625B">
        <w:rPr>
          <w:rFonts w:ascii="Sylfaen" w:hAnsi="Sylfaen"/>
          <w:sz w:val="24"/>
          <w:szCs w:val="24"/>
        </w:rPr>
        <w:t xml:space="preserve"> </w:t>
      </w:r>
      <w:r w:rsidRPr="000C625B">
        <w:rPr>
          <w:rFonts w:ascii="Sylfaen" w:hAnsi="Sylfaen" w:cs="Sylfaen"/>
          <w:sz w:val="24"/>
          <w:szCs w:val="24"/>
        </w:rPr>
        <w:t>საკონსტიტუციო</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w:t>
      </w:r>
      <w:r w:rsidRPr="000C625B">
        <w:rPr>
          <w:rFonts w:ascii="Sylfaen" w:hAnsi="Sylfaen" w:cs="Sylfaen"/>
          <w:sz w:val="24"/>
          <w:szCs w:val="24"/>
        </w:rPr>
        <w:t>განმარტებით</w:t>
      </w:r>
      <w:r w:rsidRPr="000C625B">
        <w:rPr>
          <w:rFonts w:ascii="Sylfaen" w:hAnsi="Sylfaen"/>
          <w:sz w:val="24"/>
          <w:szCs w:val="24"/>
        </w:rPr>
        <w:t>, „</w:t>
      </w:r>
      <w:r w:rsidRPr="000C625B">
        <w:rPr>
          <w:rFonts w:ascii="Sylfaen" w:hAnsi="Sylfaen" w:cs="Sylfaen"/>
          <w:sz w:val="24"/>
          <w:szCs w:val="24"/>
        </w:rPr>
        <w:t>პასუხისმგებლობის</w:t>
      </w:r>
      <w:r w:rsidRPr="000C625B">
        <w:rPr>
          <w:rFonts w:ascii="Sylfaen" w:hAnsi="Sylfaen"/>
          <w:sz w:val="24"/>
          <w:szCs w:val="24"/>
        </w:rPr>
        <w:t xml:space="preserve"> </w:t>
      </w:r>
      <w:r w:rsidRPr="000C625B">
        <w:rPr>
          <w:rFonts w:ascii="Sylfaen" w:hAnsi="Sylfaen" w:cs="Sylfaen"/>
          <w:sz w:val="24"/>
          <w:szCs w:val="24"/>
        </w:rPr>
        <w:t>დამდგენი</w:t>
      </w:r>
      <w:r w:rsidRPr="000C625B">
        <w:rPr>
          <w:rFonts w:ascii="Sylfaen" w:hAnsi="Sylfaen"/>
          <w:sz w:val="24"/>
          <w:szCs w:val="24"/>
        </w:rPr>
        <w:t xml:space="preserve"> </w:t>
      </w:r>
      <w:r w:rsidRPr="000C625B">
        <w:rPr>
          <w:rFonts w:ascii="Sylfaen" w:hAnsi="Sylfaen" w:cs="Sylfaen"/>
          <w:sz w:val="24"/>
          <w:szCs w:val="24"/>
        </w:rPr>
        <w:t>ნორმა</w:t>
      </w:r>
      <w:r w:rsidRPr="000C625B">
        <w:rPr>
          <w:rFonts w:ascii="Sylfaen" w:hAnsi="Sylfaen"/>
          <w:sz w:val="24"/>
          <w:szCs w:val="24"/>
        </w:rPr>
        <w:t xml:space="preserve"> </w:t>
      </w:r>
      <w:r w:rsidRPr="000C625B">
        <w:rPr>
          <w:rFonts w:ascii="Sylfaen" w:hAnsi="Sylfaen" w:cs="Sylfaen"/>
          <w:sz w:val="24"/>
          <w:szCs w:val="24"/>
        </w:rPr>
        <w:t>შესაძლებელია</w:t>
      </w:r>
      <w:r w:rsidR="00810DC4">
        <w:rPr>
          <w:rFonts w:ascii="Sylfaen" w:hAnsi="Sylfaen" w:cs="Sylfaen"/>
          <w:sz w:val="24"/>
          <w:szCs w:val="24"/>
        </w:rPr>
        <w:t>,</w:t>
      </w:r>
      <w:r w:rsidRPr="000C625B">
        <w:rPr>
          <w:rFonts w:ascii="Sylfaen" w:hAnsi="Sylfaen"/>
          <w:sz w:val="24"/>
          <w:szCs w:val="24"/>
        </w:rPr>
        <w:t xml:space="preserve"> </w:t>
      </w:r>
      <w:r w:rsidRPr="000C625B">
        <w:rPr>
          <w:rFonts w:ascii="Sylfaen" w:hAnsi="Sylfaen" w:cs="Sylfaen"/>
          <w:sz w:val="24"/>
          <w:szCs w:val="24"/>
        </w:rPr>
        <w:t>იძლეოდეს</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w:t>
      </w:r>
      <w:r w:rsidRPr="000C625B">
        <w:rPr>
          <w:rFonts w:ascii="Sylfaen" w:hAnsi="Sylfaen" w:cs="Sylfaen"/>
          <w:sz w:val="24"/>
          <w:szCs w:val="24"/>
        </w:rPr>
        <w:t>მიერ</w:t>
      </w:r>
      <w:r w:rsidRPr="000C625B">
        <w:rPr>
          <w:rFonts w:ascii="Sylfaen" w:hAnsi="Sylfaen"/>
          <w:sz w:val="24"/>
          <w:szCs w:val="24"/>
        </w:rPr>
        <w:t xml:space="preserve"> </w:t>
      </w:r>
      <w:r w:rsidRPr="000C625B">
        <w:rPr>
          <w:rFonts w:ascii="Sylfaen" w:hAnsi="Sylfaen" w:cs="Sylfaen"/>
          <w:sz w:val="24"/>
          <w:szCs w:val="24"/>
        </w:rPr>
        <w:t>მისი</w:t>
      </w:r>
      <w:r w:rsidRPr="000C625B">
        <w:rPr>
          <w:rFonts w:ascii="Sylfaen" w:hAnsi="Sylfaen"/>
          <w:sz w:val="24"/>
          <w:szCs w:val="24"/>
        </w:rPr>
        <w:t xml:space="preserve"> </w:t>
      </w:r>
      <w:r w:rsidRPr="000C625B">
        <w:rPr>
          <w:rFonts w:ascii="Sylfaen" w:hAnsi="Sylfaen" w:cs="Sylfaen"/>
          <w:sz w:val="24"/>
          <w:szCs w:val="24"/>
        </w:rPr>
        <w:t>განმარტების</w:t>
      </w:r>
      <w:r w:rsidRPr="000C625B">
        <w:rPr>
          <w:rFonts w:ascii="Sylfaen" w:hAnsi="Sylfaen"/>
          <w:sz w:val="24"/>
          <w:szCs w:val="24"/>
        </w:rPr>
        <w:t xml:space="preserve">, </w:t>
      </w:r>
      <w:r w:rsidRPr="000C625B">
        <w:rPr>
          <w:rFonts w:ascii="Sylfaen" w:hAnsi="Sylfaen" w:cs="Sylfaen"/>
          <w:sz w:val="24"/>
          <w:szCs w:val="24"/>
        </w:rPr>
        <w:t>ინტერპრეტაციის</w:t>
      </w:r>
      <w:r w:rsidRPr="000C625B">
        <w:rPr>
          <w:rFonts w:ascii="Sylfaen" w:hAnsi="Sylfaen"/>
          <w:sz w:val="24"/>
          <w:szCs w:val="24"/>
        </w:rPr>
        <w:t xml:space="preserve"> </w:t>
      </w:r>
      <w:r w:rsidRPr="000C625B">
        <w:rPr>
          <w:rFonts w:ascii="Sylfaen" w:hAnsi="Sylfaen" w:cs="Sylfaen"/>
          <w:sz w:val="24"/>
          <w:szCs w:val="24"/>
        </w:rPr>
        <w:t>საშუალებას</w:t>
      </w:r>
      <w:r w:rsidRPr="000C625B">
        <w:rPr>
          <w:rFonts w:ascii="Sylfaen" w:hAnsi="Sylfaen"/>
          <w:sz w:val="24"/>
          <w:szCs w:val="24"/>
        </w:rPr>
        <w:t xml:space="preserve"> </w:t>
      </w:r>
      <w:r w:rsidRPr="000C625B">
        <w:rPr>
          <w:rFonts w:ascii="Sylfaen" w:hAnsi="Sylfaen" w:cs="Sylfaen"/>
          <w:sz w:val="24"/>
          <w:szCs w:val="24"/>
        </w:rPr>
        <w:t>და</w:t>
      </w:r>
      <w:r w:rsidRPr="000C625B">
        <w:rPr>
          <w:rFonts w:ascii="Sylfaen" w:hAnsi="Sylfaen"/>
          <w:sz w:val="24"/>
          <w:szCs w:val="24"/>
        </w:rPr>
        <w:t xml:space="preserve"> </w:t>
      </w:r>
      <w:r w:rsidRPr="000C625B">
        <w:rPr>
          <w:rFonts w:ascii="Sylfaen" w:hAnsi="Sylfaen" w:cs="Sylfaen"/>
          <w:sz w:val="24"/>
          <w:szCs w:val="24"/>
        </w:rPr>
        <w:t>კანონის</w:t>
      </w:r>
      <w:r w:rsidRPr="000C625B">
        <w:rPr>
          <w:rFonts w:ascii="Sylfaen" w:hAnsi="Sylfaen"/>
          <w:sz w:val="24"/>
          <w:szCs w:val="24"/>
        </w:rPr>
        <w:t xml:space="preserve"> </w:t>
      </w:r>
      <w:r w:rsidRPr="000C625B">
        <w:rPr>
          <w:rFonts w:ascii="Sylfaen" w:hAnsi="Sylfaen" w:cs="Sylfaen"/>
          <w:sz w:val="24"/>
          <w:szCs w:val="24"/>
        </w:rPr>
        <w:t>მიერ</w:t>
      </w:r>
      <w:r w:rsidRPr="000C625B">
        <w:rPr>
          <w:rFonts w:ascii="Sylfaen" w:hAnsi="Sylfaen"/>
          <w:sz w:val="24"/>
          <w:szCs w:val="24"/>
        </w:rPr>
        <w:t xml:space="preserve"> </w:t>
      </w:r>
      <w:r w:rsidRPr="000C625B">
        <w:rPr>
          <w:rFonts w:ascii="Sylfaen" w:hAnsi="Sylfaen" w:cs="Sylfaen"/>
          <w:sz w:val="24"/>
          <w:szCs w:val="24"/>
        </w:rPr>
        <w:t>გაკეთებული</w:t>
      </w:r>
      <w:r w:rsidRPr="000C625B">
        <w:rPr>
          <w:rFonts w:ascii="Sylfaen" w:hAnsi="Sylfaen"/>
          <w:sz w:val="24"/>
          <w:szCs w:val="24"/>
        </w:rPr>
        <w:t xml:space="preserve"> </w:t>
      </w:r>
      <w:r w:rsidRPr="000C625B">
        <w:rPr>
          <w:rFonts w:ascii="Sylfaen" w:hAnsi="Sylfaen" w:cs="Sylfaen"/>
          <w:sz w:val="24"/>
          <w:szCs w:val="24"/>
        </w:rPr>
        <w:t>დათქმის</w:t>
      </w:r>
      <w:r w:rsidRPr="000C625B">
        <w:rPr>
          <w:rFonts w:ascii="Sylfaen" w:hAnsi="Sylfaen"/>
          <w:sz w:val="24"/>
          <w:szCs w:val="24"/>
        </w:rPr>
        <w:t xml:space="preserve"> </w:t>
      </w:r>
      <w:r w:rsidRPr="000C625B">
        <w:rPr>
          <w:rFonts w:ascii="Sylfaen" w:hAnsi="Sylfaen" w:cs="Sylfaen"/>
          <w:sz w:val="24"/>
          <w:szCs w:val="24"/>
        </w:rPr>
        <w:t>კონკრეტულ</w:t>
      </w:r>
      <w:r w:rsidRPr="000C625B">
        <w:rPr>
          <w:rFonts w:ascii="Sylfaen" w:hAnsi="Sylfaen"/>
          <w:sz w:val="24"/>
          <w:szCs w:val="24"/>
        </w:rPr>
        <w:t xml:space="preserve"> </w:t>
      </w:r>
      <w:r w:rsidRPr="000C625B">
        <w:rPr>
          <w:rFonts w:ascii="Sylfaen" w:hAnsi="Sylfaen" w:cs="Sylfaen"/>
          <w:sz w:val="24"/>
          <w:szCs w:val="24"/>
        </w:rPr>
        <w:t>სიტუაციასთან</w:t>
      </w:r>
      <w:r w:rsidRPr="000C625B">
        <w:rPr>
          <w:rFonts w:ascii="Sylfaen" w:hAnsi="Sylfaen"/>
          <w:sz w:val="24"/>
          <w:szCs w:val="24"/>
        </w:rPr>
        <w:t xml:space="preserve"> </w:t>
      </w:r>
      <w:r w:rsidRPr="000C625B">
        <w:rPr>
          <w:rFonts w:ascii="Sylfaen" w:hAnsi="Sylfaen" w:cs="Sylfaen"/>
          <w:sz w:val="24"/>
          <w:szCs w:val="24"/>
        </w:rPr>
        <w:t>შესაბამისობის</w:t>
      </w:r>
      <w:r w:rsidRPr="000C625B">
        <w:rPr>
          <w:rFonts w:ascii="Sylfaen" w:hAnsi="Sylfaen"/>
          <w:sz w:val="24"/>
          <w:szCs w:val="24"/>
        </w:rPr>
        <w:t xml:space="preserve"> </w:t>
      </w:r>
      <w:r w:rsidRPr="000C625B">
        <w:rPr>
          <w:rFonts w:ascii="Sylfaen" w:hAnsi="Sylfaen" w:cs="Sylfaen"/>
          <w:sz w:val="24"/>
          <w:szCs w:val="24"/>
        </w:rPr>
        <w:t>დადგენის</w:t>
      </w:r>
      <w:r w:rsidRPr="000C625B">
        <w:rPr>
          <w:rFonts w:ascii="Sylfaen" w:hAnsi="Sylfaen"/>
          <w:sz w:val="24"/>
          <w:szCs w:val="24"/>
        </w:rPr>
        <w:t xml:space="preserve"> </w:t>
      </w:r>
      <w:r w:rsidRPr="000C625B">
        <w:rPr>
          <w:rFonts w:ascii="Sylfaen" w:hAnsi="Sylfaen" w:cs="Sylfaen"/>
          <w:sz w:val="24"/>
          <w:szCs w:val="24"/>
        </w:rPr>
        <w:t>შესაძლებლობას</w:t>
      </w:r>
      <w:r w:rsidRPr="000C625B">
        <w:rPr>
          <w:rFonts w:ascii="Sylfaen" w:hAnsi="Sylfaen"/>
          <w:sz w:val="24"/>
          <w:szCs w:val="24"/>
        </w:rPr>
        <w:t xml:space="preserve">. </w:t>
      </w:r>
      <w:r w:rsidRPr="000C625B">
        <w:rPr>
          <w:rFonts w:ascii="Sylfaen" w:hAnsi="Sylfaen" w:cs="Sylfaen"/>
          <w:sz w:val="24"/>
          <w:szCs w:val="24"/>
        </w:rPr>
        <w:t>ასეთ</w:t>
      </w:r>
      <w:r w:rsidRPr="000C625B">
        <w:rPr>
          <w:rFonts w:ascii="Sylfaen" w:hAnsi="Sylfaen"/>
          <w:sz w:val="24"/>
          <w:szCs w:val="24"/>
        </w:rPr>
        <w:t xml:space="preserve"> </w:t>
      </w:r>
      <w:r w:rsidRPr="000C625B">
        <w:rPr>
          <w:rFonts w:ascii="Sylfaen" w:hAnsi="Sylfaen" w:cs="Sylfaen"/>
          <w:sz w:val="24"/>
          <w:szCs w:val="24"/>
        </w:rPr>
        <w:t>პირობებში</w:t>
      </w:r>
      <w:r w:rsidRPr="000C625B">
        <w:rPr>
          <w:rFonts w:ascii="Sylfaen" w:hAnsi="Sylfaen"/>
          <w:sz w:val="24"/>
          <w:szCs w:val="24"/>
        </w:rPr>
        <w:t xml:space="preserve"> </w:t>
      </w:r>
      <w:r w:rsidRPr="000C625B">
        <w:rPr>
          <w:rFonts w:ascii="Sylfaen" w:hAnsi="Sylfaen" w:cs="Sylfaen"/>
          <w:sz w:val="24"/>
          <w:szCs w:val="24"/>
        </w:rPr>
        <w:t>პასუხისმგებლობის</w:t>
      </w:r>
      <w:r w:rsidRPr="000C625B">
        <w:rPr>
          <w:rFonts w:ascii="Sylfaen" w:hAnsi="Sylfaen"/>
          <w:sz w:val="24"/>
          <w:szCs w:val="24"/>
        </w:rPr>
        <w:t xml:space="preserve"> </w:t>
      </w:r>
      <w:r w:rsidRPr="000C625B">
        <w:rPr>
          <w:rFonts w:ascii="Sylfaen" w:hAnsi="Sylfaen" w:cs="Sylfaen"/>
          <w:sz w:val="24"/>
          <w:szCs w:val="24"/>
        </w:rPr>
        <w:t>დამდგენი</w:t>
      </w:r>
      <w:r w:rsidRPr="000C625B">
        <w:rPr>
          <w:rFonts w:ascii="Sylfaen" w:hAnsi="Sylfaen"/>
          <w:sz w:val="24"/>
          <w:szCs w:val="24"/>
        </w:rPr>
        <w:t xml:space="preserve"> </w:t>
      </w:r>
      <w:r w:rsidRPr="000C625B">
        <w:rPr>
          <w:rFonts w:ascii="Sylfaen" w:hAnsi="Sylfaen" w:cs="Sylfaen"/>
          <w:sz w:val="24"/>
          <w:szCs w:val="24"/>
        </w:rPr>
        <w:t>ნორმების</w:t>
      </w:r>
      <w:r w:rsidRPr="000C625B">
        <w:rPr>
          <w:rFonts w:ascii="Sylfaen" w:hAnsi="Sylfaen"/>
          <w:sz w:val="24"/>
          <w:szCs w:val="24"/>
        </w:rPr>
        <w:t xml:space="preserve"> </w:t>
      </w:r>
      <w:r w:rsidRPr="000C625B">
        <w:rPr>
          <w:rFonts w:ascii="Sylfaen" w:hAnsi="Sylfaen" w:cs="Sylfaen"/>
          <w:sz w:val="24"/>
          <w:szCs w:val="24"/>
        </w:rPr>
        <w:t>სამართლებრივი</w:t>
      </w:r>
      <w:r w:rsidRPr="000C625B">
        <w:rPr>
          <w:rFonts w:ascii="Sylfaen" w:hAnsi="Sylfaen"/>
          <w:sz w:val="24"/>
          <w:szCs w:val="24"/>
        </w:rPr>
        <w:t xml:space="preserve"> </w:t>
      </w:r>
      <w:r w:rsidRPr="000C625B">
        <w:rPr>
          <w:rFonts w:ascii="Sylfaen" w:hAnsi="Sylfaen" w:cs="Sylfaen"/>
          <w:sz w:val="24"/>
          <w:szCs w:val="24"/>
        </w:rPr>
        <w:t>შედეგების</w:t>
      </w:r>
      <w:r w:rsidRPr="000C625B">
        <w:rPr>
          <w:rFonts w:ascii="Sylfaen" w:hAnsi="Sylfaen"/>
          <w:sz w:val="24"/>
          <w:szCs w:val="24"/>
        </w:rPr>
        <w:t xml:space="preserve"> </w:t>
      </w:r>
      <w:r w:rsidRPr="000C625B">
        <w:rPr>
          <w:rFonts w:ascii="Sylfaen" w:hAnsi="Sylfaen" w:cs="Sylfaen"/>
          <w:sz w:val="24"/>
          <w:szCs w:val="24"/>
        </w:rPr>
        <w:t>განჭვრეტის</w:t>
      </w:r>
      <w:r w:rsidRPr="000C625B">
        <w:rPr>
          <w:rFonts w:ascii="Sylfaen" w:hAnsi="Sylfaen"/>
          <w:sz w:val="24"/>
          <w:szCs w:val="24"/>
        </w:rPr>
        <w:t xml:space="preserve"> </w:t>
      </w:r>
      <w:r w:rsidRPr="000C625B">
        <w:rPr>
          <w:rFonts w:ascii="Sylfaen" w:hAnsi="Sylfaen" w:cs="Sylfaen"/>
          <w:sz w:val="24"/>
          <w:szCs w:val="24"/>
        </w:rPr>
        <w:t>თვალსაზრისით</w:t>
      </w:r>
      <w:r w:rsidR="00810DC4">
        <w:rPr>
          <w:rFonts w:ascii="Sylfaen" w:hAnsi="Sylfaen" w:cs="Sylfaen"/>
          <w:sz w:val="24"/>
          <w:szCs w:val="24"/>
        </w:rPr>
        <w:t>,</w:t>
      </w:r>
      <w:r w:rsidRPr="000C625B">
        <w:rPr>
          <w:rFonts w:ascii="Sylfaen" w:hAnsi="Sylfaen"/>
          <w:sz w:val="24"/>
          <w:szCs w:val="24"/>
        </w:rPr>
        <w:t xml:space="preserve"> </w:t>
      </w:r>
      <w:r w:rsidRPr="000C625B">
        <w:rPr>
          <w:rFonts w:ascii="Sylfaen" w:hAnsi="Sylfaen" w:cs="Sylfaen"/>
          <w:sz w:val="24"/>
          <w:szCs w:val="24"/>
        </w:rPr>
        <w:t>უაღრესად</w:t>
      </w:r>
      <w:r w:rsidRPr="000C625B">
        <w:rPr>
          <w:rFonts w:ascii="Sylfaen" w:hAnsi="Sylfaen"/>
          <w:sz w:val="24"/>
          <w:szCs w:val="24"/>
        </w:rPr>
        <w:t xml:space="preserve"> </w:t>
      </w:r>
      <w:r w:rsidRPr="000C625B">
        <w:rPr>
          <w:rFonts w:ascii="Sylfaen" w:hAnsi="Sylfaen" w:cs="Sylfaen"/>
          <w:sz w:val="24"/>
          <w:szCs w:val="24"/>
        </w:rPr>
        <w:t>დიდი</w:t>
      </w:r>
      <w:r w:rsidRPr="000C625B">
        <w:rPr>
          <w:rFonts w:ascii="Sylfaen" w:hAnsi="Sylfaen"/>
          <w:sz w:val="24"/>
          <w:szCs w:val="24"/>
        </w:rPr>
        <w:t xml:space="preserve"> </w:t>
      </w:r>
      <w:r w:rsidRPr="000C625B">
        <w:rPr>
          <w:rFonts w:ascii="Sylfaen" w:hAnsi="Sylfaen" w:cs="Sylfaen"/>
          <w:sz w:val="24"/>
          <w:szCs w:val="24"/>
        </w:rPr>
        <w:t>მნიშვნელობა</w:t>
      </w:r>
      <w:r w:rsidRPr="000C625B">
        <w:rPr>
          <w:rFonts w:ascii="Sylfaen" w:hAnsi="Sylfaen"/>
          <w:sz w:val="24"/>
          <w:szCs w:val="24"/>
        </w:rPr>
        <w:t xml:space="preserve"> </w:t>
      </w:r>
      <w:r w:rsidRPr="000C625B">
        <w:rPr>
          <w:rFonts w:ascii="Sylfaen" w:hAnsi="Sylfaen" w:cs="Sylfaen"/>
          <w:sz w:val="24"/>
          <w:szCs w:val="24"/>
        </w:rPr>
        <w:t>ენიჭება</w:t>
      </w:r>
      <w:r w:rsidRPr="000C625B">
        <w:rPr>
          <w:rFonts w:ascii="Sylfaen" w:hAnsi="Sylfaen"/>
          <w:sz w:val="24"/>
          <w:szCs w:val="24"/>
        </w:rPr>
        <w:t xml:space="preserve"> </w:t>
      </w:r>
      <w:r w:rsidRPr="000C625B">
        <w:rPr>
          <w:rFonts w:ascii="Sylfaen" w:hAnsi="Sylfaen" w:cs="Sylfaen"/>
          <w:sz w:val="24"/>
          <w:szCs w:val="24"/>
        </w:rPr>
        <w:t>საერთო</w:t>
      </w:r>
      <w:r w:rsidRPr="000C625B">
        <w:rPr>
          <w:rFonts w:ascii="Sylfaen" w:hAnsi="Sylfaen"/>
          <w:sz w:val="24"/>
          <w:szCs w:val="24"/>
        </w:rPr>
        <w:t xml:space="preserve"> </w:t>
      </w:r>
      <w:r w:rsidRPr="000C625B">
        <w:rPr>
          <w:rFonts w:ascii="Sylfaen" w:hAnsi="Sylfaen" w:cs="Sylfaen"/>
          <w:sz w:val="24"/>
          <w:szCs w:val="24"/>
        </w:rPr>
        <w:t>სასამართლოების</w:t>
      </w:r>
      <w:r w:rsidRPr="000C625B">
        <w:rPr>
          <w:rFonts w:ascii="Sylfaen" w:hAnsi="Sylfaen"/>
          <w:sz w:val="24"/>
          <w:szCs w:val="24"/>
        </w:rPr>
        <w:t xml:space="preserve"> </w:t>
      </w:r>
      <w:r w:rsidRPr="000C625B">
        <w:rPr>
          <w:rFonts w:ascii="Sylfaen" w:hAnsi="Sylfaen" w:cs="Sylfaen"/>
          <w:sz w:val="24"/>
          <w:szCs w:val="24"/>
        </w:rPr>
        <w:t>პრაქტიკას</w:t>
      </w:r>
      <w:r w:rsidRPr="000C625B">
        <w:rPr>
          <w:rFonts w:ascii="Sylfaen" w:hAnsi="Sylfaen"/>
          <w:sz w:val="24"/>
          <w:szCs w:val="24"/>
        </w:rPr>
        <w:t>“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საკონსტიტუციო</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2013 </w:t>
      </w:r>
      <w:r w:rsidRPr="000C625B">
        <w:rPr>
          <w:rFonts w:ascii="Sylfaen" w:hAnsi="Sylfaen" w:cs="Sylfaen"/>
          <w:sz w:val="24"/>
          <w:szCs w:val="24"/>
        </w:rPr>
        <w:t>წლის</w:t>
      </w:r>
      <w:r w:rsidRPr="000C625B">
        <w:rPr>
          <w:rFonts w:ascii="Sylfaen" w:hAnsi="Sylfaen"/>
          <w:sz w:val="24"/>
          <w:szCs w:val="24"/>
        </w:rPr>
        <w:t xml:space="preserve"> 14 </w:t>
      </w:r>
      <w:r w:rsidRPr="000C625B">
        <w:rPr>
          <w:rFonts w:ascii="Sylfaen" w:hAnsi="Sylfaen" w:cs="Sylfaen"/>
          <w:sz w:val="24"/>
          <w:szCs w:val="24"/>
        </w:rPr>
        <w:t>მაისის</w:t>
      </w:r>
      <w:r w:rsidRPr="000C625B">
        <w:rPr>
          <w:rFonts w:ascii="Sylfaen" w:hAnsi="Sylfaen"/>
          <w:sz w:val="24"/>
          <w:szCs w:val="24"/>
        </w:rPr>
        <w:t xml:space="preserve"> №2/2/516,542 </w:t>
      </w:r>
      <w:r w:rsidRPr="000C625B">
        <w:rPr>
          <w:rFonts w:ascii="Sylfaen" w:hAnsi="Sylfaen" w:cs="Sylfaen"/>
          <w:sz w:val="24"/>
          <w:szCs w:val="24"/>
        </w:rPr>
        <w:t>გადაწყვეტილება</w:t>
      </w:r>
      <w:r w:rsidRPr="000C625B">
        <w:rPr>
          <w:rFonts w:ascii="Sylfaen" w:hAnsi="Sylfaen"/>
          <w:sz w:val="24"/>
          <w:szCs w:val="24"/>
        </w:rPr>
        <w:t xml:space="preserve"> </w:t>
      </w:r>
      <w:r w:rsidRPr="000C625B">
        <w:rPr>
          <w:rFonts w:ascii="Sylfaen" w:hAnsi="Sylfaen" w:cs="Sylfaen"/>
          <w:sz w:val="24"/>
          <w:szCs w:val="24"/>
        </w:rPr>
        <w:t>საქმეზე</w:t>
      </w:r>
      <w:r w:rsidRPr="000C625B">
        <w:rPr>
          <w:rFonts w:ascii="Sylfaen" w:hAnsi="Sylfaen"/>
          <w:sz w:val="24"/>
          <w:szCs w:val="24"/>
        </w:rPr>
        <w:t xml:space="preserve">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მოქალაქეები</w:t>
      </w:r>
      <w:r w:rsidRPr="000C625B">
        <w:rPr>
          <w:rFonts w:ascii="Sylfaen" w:hAnsi="Sylfaen"/>
          <w:sz w:val="24"/>
          <w:szCs w:val="24"/>
        </w:rPr>
        <w:t xml:space="preserve"> - </w:t>
      </w:r>
      <w:r w:rsidRPr="000C625B">
        <w:rPr>
          <w:rFonts w:ascii="Sylfaen" w:hAnsi="Sylfaen" w:cs="Sylfaen"/>
          <w:sz w:val="24"/>
          <w:szCs w:val="24"/>
        </w:rPr>
        <w:t>ალექსანდრე</w:t>
      </w:r>
      <w:r w:rsidRPr="000C625B">
        <w:rPr>
          <w:rFonts w:ascii="Sylfaen" w:hAnsi="Sylfaen"/>
          <w:sz w:val="24"/>
          <w:szCs w:val="24"/>
        </w:rPr>
        <w:t xml:space="preserve"> </w:t>
      </w:r>
      <w:r w:rsidRPr="000C625B">
        <w:rPr>
          <w:rFonts w:ascii="Sylfaen" w:hAnsi="Sylfaen" w:cs="Sylfaen"/>
          <w:sz w:val="24"/>
          <w:szCs w:val="24"/>
        </w:rPr>
        <w:t>ბარამიძე</w:t>
      </w:r>
      <w:r w:rsidRPr="000C625B">
        <w:rPr>
          <w:rFonts w:ascii="Sylfaen" w:hAnsi="Sylfaen"/>
          <w:sz w:val="24"/>
          <w:szCs w:val="24"/>
        </w:rPr>
        <w:t xml:space="preserve">, </w:t>
      </w:r>
      <w:r w:rsidRPr="000C625B">
        <w:rPr>
          <w:rFonts w:ascii="Sylfaen" w:hAnsi="Sylfaen" w:cs="Sylfaen"/>
          <w:sz w:val="24"/>
          <w:szCs w:val="24"/>
        </w:rPr>
        <w:t>ლაშა</w:t>
      </w:r>
      <w:r w:rsidRPr="000C625B">
        <w:rPr>
          <w:rFonts w:ascii="Sylfaen" w:hAnsi="Sylfaen"/>
          <w:sz w:val="24"/>
          <w:szCs w:val="24"/>
        </w:rPr>
        <w:t xml:space="preserve"> </w:t>
      </w:r>
      <w:r w:rsidRPr="000C625B">
        <w:rPr>
          <w:rFonts w:ascii="Sylfaen" w:hAnsi="Sylfaen" w:cs="Sylfaen"/>
          <w:sz w:val="24"/>
          <w:szCs w:val="24"/>
        </w:rPr>
        <w:t>ტუღუში</w:t>
      </w:r>
      <w:r w:rsidRPr="000C625B">
        <w:rPr>
          <w:rFonts w:ascii="Sylfaen" w:hAnsi="Sylfaen"/>
          <w:sz w:val="24"/>
          <w:szCs w:val="24"/>
        </w:rPr>
        <w:t xml:space="preserve">, </w:t>
      </w:r>
      <w:r w:rsidRPr="000C625B">
        <w:rPr>
          <w:rFonts w:ascii="Sylfaen" w:hAnsi="Sylfaen" w:cs="Sylfaen"/>
          <w:sz w:val="24"/>
          <w:szCs w:val="24"/>
        </w:rPr>
        <w:t>ვახტანგ</w:t>
      </w:r>
      <w:r w:rsidRPr="000C625B">
        <w:rPr>
          <w:rFonts w:ascii="Sylfaen" w:hAnsi="Sylfaen"/>
          <w:sz w:val="24"/>
          <w:szCs w:val="24"/>
        </w:rPr>
        <w:t xml:space="preserve"> </w:t>
      </w:r>
      <w:r w:rsidRPr="000C625B">
        <w:rPr>
          <w:rFonts w:ascii="Sylfaen" w:hAnsi="Sylfaen" w:cs="Sylfaen"/>
          <w:sz w:val="24"/>
          <w:szCs w:val="24"/>
        </w:rPr>
        <w:t>ხმალაძე</w:t>
      </w:r>
      <w:r w:rsidRPr="000C625B">
        <w:rPr>
          <w:rFonts w:ascii="Sylfaen" w:hAnsi="Sylfaen"/>
          <w:sz w:val="24"/>
          <w:szCs w:val="24"/>
        </w:rPr>
        <w:t xml:space="preserve"> </w:t>
      </w:r>
      <w:r w:rsidRPr="000C625B">
        <w:rPr>
          <w:rFonts w:ascii="Sylfaen" w:hAnsi="Sylfaen" w:cs="Sylfaen"/>
          <w:sz w:val="24"/>
          <w:szCs w:val="24"/>
        </w:rPr>
        <w:t>და</w:t>
      </w:r>
      <w:r w:rsidRPr="000C625B">
        <w:rPr>
          <w:rFonts w:ascii="Sylfaen" w:hAnsi="Sylfaen"/>
          <w:sz w:val="24"/>
          <w:szCs w:val="24"/>
        </w:rPr>
        <w:t xml:space="preserve"> </w:t>
      </w:r>
      <w:r w:rsidRPr="000C625B">
        <w:rPr>
          <w:rFonts w:ascii="Sylfaen" w:hAnsi="Sylfaen" w:cs="Sylfaen"/>
          <w:sz w:val="24"/>
          <w:szCs w:val="24"/>
        </w:rPr>
        <w:t>ვახტანგ</w:t>
      </w:r>
      <w:r w:rsidRPr="000C625B">
        <w:rPr>
          <w:rFonts w:ascii="Sylfaen" w:hAnsi="Sylfaen"/>
          <w:sz w:val="24"/>
          <w:szCs w:val="24"/>
        </w:rPr>
        <w:t xml:space="preserve"> </w:t>
      </w:r>
      <w:r w:rsidRPr="000C625B">
        <w:rPr>
          <w:rFonts w:ascii="Sylfaen" w:hAnsi="Sylfaen" w:cs="Sylfaen"/>
          <w:sz w:val="24"/>
          <w:szCs w:val="24"/>
        </w:rPr>
        <w:t>მაისაია</w:t>
      </w:r>
      <w:r w:rsidRPr="000C625B">
        <w:rPr>
          <w:rFonts w:ascii="Sylfaen" w:hAnsi="Sylfaen"/>
          <w:sz w:val="24"/>
          <w:szCs w:val="24"/>
        </w:rPr>
        <w:t xml:space="preserve">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პარლამენტის</w:t>
      </w:r>
      <w:r w:rsidRPr="000C625B">
        <w:rPr>
          <w:rFonts w:ascii="Sylfaen" w:hAnsi="Sylfaen"/>
          <w:sz w:val="24"/>
          <w:szCs w:val="24"/>
        </w:rPr>
        <w:t xml:space="preserve"> </w:t>
      </w:r>
      <w:r w:rsidRPr="000C625B">
        <w:rPr>
          <w:rFonts w:ascii="Sylfaen" w:hAnsi="Sylfaen" w:cs="Sylfaen"/>
          <w:sz w:val="24"/>
          <w:szCs w:val="24"/>
        </w:rPr>
        <w:t>წინააღმდეგ</w:t>
      </w:r>
      <w:r w:rsidRPr="000C625B">
        <w:rPr>
          <w:rFonts w:ascii="Sylfaen" w:hAnsi="Sylfaen"/>
          <w:sz w:val="24"/>
          <w:szCs w:val="24"/>
        </w:rPr>
        <w:t xml:space="preserve">“, II-36). </w:t>
      </w:r>
    </w:p>
    <w:p w14:paraId="607BACD1" w14:textId="77777777" w:rsidR="00F27BA0" w:rsidRPr="000C625B" w:rsidRDefault="00F27BA0" w:rsidP="00F27BA0">
      <w:pPr>
        <w:pStyle w:val="ListParagraph"/>
        <w:numPr>
          <w:ilvl w:val="0"/>
          <w:numId w:val="2"/>
        </w:numPr>
        <w:spacing w:after="0"/>
        <w:ind w:left="0" w:firstLine="284"/>
        <w:jc w:val="both"/>
        <w:rPr>
          <w:rFonts w:ascii="Sylfaen" w:hAnsi="Sylfaen" w:cs="Calibri"/>
          <w:sz w:val="24"/>
          <w:szCs w:val="24"/>
        </w:rPr>
      </w:pP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საკონსტიტუციო</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w:t>
      </w:r>
      <w:r w:rsidRPr="000C625B">
        <w:rPr>
          <w:rFonts w:ascii="Sylfaen" w:hAnsi="Sylfaen" w:cs="Sylfaen"/>
          <w:sz w:val="24"/>
          <w:szCs w:val="24"/>
        </w:rPr>
        <w:t>პრაქტიკის</w:t>
      </w:r>
      <w:r w:rsidRPr="000C625B">
        <w:rPr>
          <w:rFonts w:ascii="Sylfaen" w:hAnsi="Sylfaen"/>
          <w:sz w:val="24"/>
          <w:szCs w:val="24"/>
        </w:rPr>
        <w:t xml:space="preserve"> </w:t>
      </w:r>
      <w:r w:rsidRPr="000C625B">
        <w:rPr>
          <w:rFonts w:ascii="Sylfaen" w:hAnsi="Sylfaen" w:cs="Sylfaen"/>
          <w:sz w:val="24"/>
          <w:szCs w:val="24"/>
        </w:rPr>
        <w:t>თანახმად</w:t>
      </w:r>
      <w:r w:rsidRPr="000C625B">
        <w:rPr>
          <w:rFonts w:ascii="Sylfaen" w:hAnsi="Sylfaen"/>
          <w:sz w:val="24"/>
          <w:szCs w:val="24"/>
        </w:rPr>
        <w:t>, „</w:t>
      </w:r>
      <w:r w:rsidRPr="000C625B">
        <w:rPr>
          <w:rFonts w:ascii="Sylfaen" w:hAnsi="Sylfaen" w:cs="Sylfaen"/>
          <w:sz w:val="24"/>
          <w:szCs w:val="24"/>
        </w:rPr>
        <w:t>ნებისმიერი</w:t>
      </w:r>
      <w:r w:rsidRPr="000C625B">
        <w:rPr>
          <w:rFonts w:ascii="Sylfaen" w:hAnsi="Sylfaen"/>
          <w:sz w:val="24"/>
          <w:szCs w:val="24"/>
        </w:rPr>
        <w:t xml:space="preserve"> </w:t>
      </w:r>
      <w:r w:rsidRPr="000C625B">
        <w:rPr>
          <w:rFonts w:ascii="Sylfaen" w:hAnsi="Sylfaen" w:cs="Sylfaen"/>
          <w:sz w:val="24"/>
          <w:szCs w:val="24"/>
        </w:rPr>
        <w:t>ნორმატიულად</w:t>
      </w:r>
      <w:r w:rsidRPr="000C625B">
        <w:rPr>
          <w:rFonts w:ascii="Sylfaen" w:hAnsi="Sylfaen"/>
          <w:sz w:val="24"/>
          <w:szCs w:val="24"/>
        </w:rPr>
        <w:t xml:space="preserve"> </w:t>
      </w:r>
      <w:r w:rsidRPr="000C625B">
        <w:rPr>
          <w:rFonts w:ascii="Sylfaen" w:hAnsi="Sylfaen" w:cs="Sylfaen"/>
          <w:sz w:val="24"/>
          <w:szCs w:val="24"/>
        </w:rPr>
        <w:t>დადგენილი</w:t>
      </w:r>
      <w:r w:rsidRPr="000C625B">
        <w:rPr>
          <w:rFonts w:ascii="Sylfaen" w:hAnsi="Sylfaen"/>
          <w:sz w:val="24"/>
          <w:szCs w:val="24"/>
        </w:rPr>
        <w:t xml:space="preserve"> </w:t>
      </w:r>
      <w:r w:rsidRPr="000C625B">
        <w:rPr>
          <w:rFonts w:ascii="Sylfaen" w:hAnsi="Sylfaen" w:cs="Sylfaen"/>
          <w:sz w:val="24"/>
          <w:szCs w:val="24"/>
        </w:rPr>
        <w:t>ქცევის</w:t>
      </w:r>
      <w:r w:rsidRPr="000C625B">
        <w:rPr>
          <w:rFonts w:ascii="Sylfaen" w:hAnsi="Sylfaen"/>
          <w:sz w:val="24"/>
          <w:szCs w:val="24"/>
        </w:rPr>
        <w:t xml:space="preserve"> </w:t>
      </w:r>
      <w:r w:rsidRPr="000C625B">
        <w:rPr>
          <w:rFonts w:ascii="Sylfaen" w:hAnsi="Sylfaen" w:cs="Sylfaen"/>
          <w:sz w:val="24"/>
          <w:szCs w:val="24"/>
        </w:rPr>
        <w:t>წესი</w:t>
      </w:r>
      <w:r w:rsidRPr="000C625B">
        <w:rPr>
          <w:rFonts w:ascii="Sylfaen" w:hAnsi="Sylfaen"/>
          <w:sz w:val="24"/>
          <w:szCs w:val="24"/>
        </w:rPr>
        <w:t xml:space="preserve"> </w:t>
      </w:r>
      <w:r w:rsidRPr="000C625B">
        <w:rPr>
          <w:rFonts w:ascii="Sylfaen" w:hAnsi="Sylfaen" w:cs="Sylfaen"/>
          <w:sz w:val="24"/>
          <w:szCs w:val="24"/>
        </w:rPr>
        <w:t>სიცოცხლისუნარიანი</w:t>
      </w:r>
      <w:r w:rsidRPr="000C625B">
        <w:rPr>
          <w:rFonts w:ascii="Sylfaen" w:hAnsi="Sylfaen"/>
          <w:sz w:val="24"/>
          <w:szCs w:val="24"/>
        </w:rPr>
        <w:t xml:space="preserve"> </w:t>
      </w:r>
      <w:r w:rsidRPr="000C625B">
        <w:rPr>
          <w:rFonts w:ascii="Sylfaen" w:hAnsi="Sylfaen" w:cs="Sylfaen"/>
          <w:sz w:val="24"/>
          <w:szCs w:val="24"/>
        </w:rPr>
        <w:t>ხდება</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w:t>
      </w:r>
      <w:r w:rsidRPr="000C625B">
        <w:rPr>
          <w:rFonts w:ascii="Sylfaen" w:hAnsi="Sylfaen" w:cs="Sylfaen"/>
          <w:sz w:val="24"/>
          <w:szCs w:val="24"/>
        </w:rPr>
        <w:t>პრაქტიკაში</w:t>
      </w:r>
      <w:r w:rsidRPr="000C625B">
        <w:rPr>
          <w:rFonts w:ascii="Sylfaen" w:hAnsi="Sylfaen"/>
          <w:sz w:val="24"/>
          <w:szCs w:val="24"/>
        </w:rPr>
        <w:t xml:space="preserve"> </w:t>
      </w:r>
      <w:r w:rsidRPr="000C625B">
        <w:rPr>
          <w:rFonts w:ascii="Sylfaen" w:hAnsi="Sylfaen" w:cs="Sylfaen"/>
          <w:sz w:val="24"/>
          <w:szCs w:val="24"/>
        </w:rPr>
        <w:t>და</w:t>
      </w:r>
      <w:r w:rsidRPr="000C625B">
        <w:rPr>
          <w:rFonts w:ascii="Sylfaen" w:hAnsi="Sylfaen"/>
          <w:sz w:val="24"/>
          <w:szCs w:val="24"/>
        </w:rPr>
        <w:t xml:space="preserve"> </w:t>
      </w:r>
      <w:r w:rsidRPr="000C625B">
        <w:rPr>
          <w:rFonts w:ascii="Sylfaen" w:hAnsi="Sylfaen" w:cs="Sylfaen"/>
          <w:sz w:val="24"/>
          <w:szCs w:val="24"/>
        </w:rPr>
        <w:t>მისი</w:t>
      </w:r>
      <w:r w:rsidRPr="000C625B">
        <w:rPr>
          <w:rFonts w:ascii="Sylfaen" w:hAnsi="Sylfaen"/>
          <w:sz w:val="24"/>
          <w:szCs w:val="24"/>
        </w:rPr>
        <w:t xml:space="preserve"> </w:t>
      </w:r>
      <w:r w:rsidRPr="000C625B">
        <w:rPr>
          <w:rFonts w:ascii="Sylfaen" w:hAnsi="Sylfaen" w:cs="Sylfaen"/>
          <w:sz w:val="24"/>
          <w:szCs w:val="24"/>
        </w:rPr>
        <w:t>საშუალებით</w:t>
      </w:r>
      <w:r w:rsidRPr="000C625B">
        <w:rPr>
          <w:rFonts w:ascii="Sylfaen" w:hAnsi="Sylfaen"/>
          <w:sz w:val="24"/>
          <w:szCs w:val="24"/>
        </w:rPr>
        <w:t xml:space="preserve">. </w:t>
      </w:r>
      <w:r w:rsidRPr="000C625B">
        <w:rPr>
          <w:rFonts w:ascii="Sylfaen" w:hAnsi="Sylfaen" w:cs="Sylfaen"/>
          <w:sz w:val="24"/>
          <w:szCs w:val="24"/>
        </w:rPr>
        <w:t>სასამართლო</w:t>
      </w:r>
      <w:r w:rsidRPr="000C625B">
        <w:rPr>
          <w:rFonts w:ascii="Sylfaen" w:hAnsi="Sylfaen"/>
          <w:sz w:val="24"/>
          <w:szCs w:val="24"/>
        </w:rPr>
        <w:t xml:space="preserve"> </w:t>
      </w:r>
      <w:r w:rsidRPr="000C625B">
        <w:rPr>
          <w:rFonts w:ascii="Sylfaen" w:hAnsi="Sylfaen" w:cs="Sylfaen"/>
          <w:sz w:val="24"/>
          <w:szCs w:val="24"/>
        </w:rPr>
        <w:t>ხელისუფლება</w:t>
      </w:r>
      <w:r w:rsidRPr="000C625B">
        <w:rPr>
          <w:rFonts w:ascii="Sylfaen" w:hAnsi="Sylfaen"/>
          <w:sz w:val="24"/>
          <w:szCs w:val="24"/>
        </w:rPr>
        <w:t xml:space="preserve">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კონსტიტუციით</w:t>
      </w:r>
      <w:r w:rsidRPr="000C625B">
        <w:rPr>
          <w:rFonts w:ascii="Sylfaen" w:hAnsi="Sylfaen"/>
          <w:sz w:val="24"/>
          <w:szCs w:val="24"/>
        </w:rPr>
        <w:t xml:space="preserve"> </w:t>
      </w:r>
      <w:r w:rsidRPr="000C625B">
        <w:rPr>
          <w:rFonts w:ascii="Sylfaen" w:hAnsi="Sylfaen" w:cs="Sylfaen"/>
          <w:sz w:val="24"/>
          <w:szCs w:val="24"/>
        </w:rPr>
        <w:t>დადგენილ</w:t>
      </w:r>
      <w:r w:rsidRPr="000C625B">
        <w:rPr>
          <w:rFonts w:ascii="Sylfaen" w:hAnsi="Sylfaen"/>
          <w:sz w:val="24"/>
          <w:szCs w:val="24"/>
        </w:rPr>
        <w:t xml:space="preserve"> </w:t>
      </w:r>
      <w:r w:rsidRPr="000C625B">
        <w:rPr>
          <w:rFonts w:ascii="Sylfaen" w:hAnsi="Sylfaen" w:cs="Sylfaen"/>
          <w:sz w:val="24"/>
          <w:szCs w:val="24"/>
        </w:rPr>
        <w:t>ორგანოთა</w:t>
      </w:r>
      <w:r w:rsidRPr="000C625B">
        <w:rPr>
          <w:rFonts w:ascii="Sylfaen" w:hAnsi="Sylfaen"/>
          <w:sz w:val="24"/>
          <w:szCs w:val="24"/>
        </w:rPr>
        <w:t xml:space="preserve"> </w:t>
      </w:r>
      <w:r w:rsidRPr="000C625B">
        <w:rPr>
          <w:rFonts w:ascii="Sylfaen" w:hAnsi="Sylfaen" w:cs="Sylfaen"/>
          <w:sz w:val="24"/>
          <w:szCs w:val="24"/>
        </w:rPr>
        <w:t>არქიტექტურაში</w:t>
      </w:r>
      <w:r w:rsidRPr="000C625B">
        <w:rPr>
          <w:rFonts w:ascii="Sylfaen" w:hAnsi="Sylfaen"/>
          <w:sz w:val="24"/>
          <w:szCs w:val="24"/>
        </w:rPr>
        <w:t xml:space="preserve"> </w:t>
      </w:r>
      <w:r w:rsidRPr="000C625B">
        <w:rPr>
          <w:rFonts w:ascii="Sylfaen" w:hAnsi="Sylfaen" w:cs="Sylfaen"/>
          <w:sz w:val="24"/>
          <w:szCs w:val="24"/>
        </w:rPr>
        <w:t>არის</w:t>
      </w:r>
      <w:r w:rsidRPr="000C625B">
        <w:rPr>
          <w:rFonts w:ascii="Sylfaen" w:hAnsi="Sylfaen"/>
          <w:sz w:val="24"/>
          <w:szCs w:val="24"/>
        </w:rPr>
        <w:t xml:space="preserve"> </w:t>
      </w:r>
      <w:r w:rsidRPr="000C625B">
        <w:rPr>
          <w:rFonts w:ascii="Sylfaen" w:hAnsi="Sylfaen" w:cs="Sylfaen"/>
          <w:sz w:val="24"/>
          <w:szCs w:val="24"/>
        </w:rPr>
        <w:t>ის</w:t>
      </w:r>
      <w:r w:rsidRPr="000C625B">
        <w:rPr>
          <w:rFonts w:ascii="Sylfaen" w:hAnsi="Sylfaen"/>
          <w:sz w:val="24"/>
          <w:szCs w:val="24"/>
        </w:rPr>
        <w:t xml:space="preserve"> </w:t>
      </w:r>
      <w:proofErr w:type="spellStart"/>
      <w:r w:rsidRPr="000C625B">
        <w:rPr>
          <w:rFonts w:ascii="Sylfaen" w:hAnsi="Sylfaen" w:cs="Sylfaen"/>
          <w:sz w:val="24"/>
          <w:szCs w:val="24"/>
        </w:rPr>
        <w:t>სახელისუფლებო</w:t>
      </w:r>
      <w:proofErr w:type="spellEnd"/>
      <w:r w:rsidRPr="000C625B">
        <w:rPr>
          <w:rFonts w:ascii="Sylfaen" w:hAnsi="Sylfaen"/>
          <w:sz w:val="24"/>
          <w:szCs w:val="24"/>
        </w:rPr>
        <w:t xml:space="preserve"> </w:t>
      </w:r>
      <w:r w:rsidRPr="000C625B">
        <w:rPr>
          <w:rFonts w:ascii="Sylfaen" w:hAnsi="Sylfaen" w:cs="Sylfaen"/>
          <w:sz w:val="24"/>
          <w:szCs w:val="24"/>
        </w:rPr>
        <w:t>შტო</w:t>
      </w:r>
      <w:r w:rsidRPr="000C625B">
        <w:rPr>
          <w:rFonts w:ascii="Sylfaen" w:hAnsi="Sylfaen"/>
          <w:sz w:val="24"/>
          <w:szCs w:val="24"/>
        </w:rPr>
        <w:t xml:space="preserve">, </w:t>
      </w:r>
      <w:r w:rsidRPr="000C625B">
        <w:rPr>
          <w:rFonts w:ascii="Sylfaen" w:hAnsi="Sylfaen" w:cs="Sylfaen"/>
          <w:sz w:val="24"/>
          <w:szCs w:val="24"/>
        </w:rPr>
        <w:t>რომელიც</w:t>
      </w:r>
      <w:r w:rsidRPr="000C625B">
        <w:rPr>
          <w:rFonts w:ascii="Sylfaen" w:hAnsi="Sylfaen"/>
          <w:sz w:val="24"/>
          <w:szCs w:val="24"/>
        </w:rPr>
        <w:t xml:space="preserve"> </w:t>
      </w:r>
      <w:r w:rsidRPr="000C625B">
        <w:rPr>
          <w:rFonts w:ascii="Sylfaen" w:hAnsi="Sylfaen" w:cs="Sylfaen"/>
          <w:sz w:val="24"/>
          <w:szCs w:val="24"/>
        </w:rPr>
        <w:t>საბოლოო</w:t>
      </w:r>
      <w:r w:rsidRPr="000C625B">
        <w:rPr>
          <w:rFonts w:ascii="Sylfaen" w:hAnsi="Sylfaen"/>
          <w:sz w:val="24"/>
          <w:szCs w:val="24"/>
        </w:rPr>
        <w:t xml:space="preserve"> </w:t>
      </w:r>
      <w:r w:rsidRPr="000C625B">
        <w:rPr>
          <w:rFonts w:ascii="Sylfaen" w:hAnsi="Sylfaen" w:cs="Sylfaen"/>
          <w:sz w:val="24"/>
          <w:szCs w:val="24"/>
        </w:rPr>
        <w:t>სიტყვას</w:t>
      </w:r>
      <w:r w:rsidRPr="000C625B">
        <w:rPr>
          <w:rFonts w:ascii="Sylfaen" w:hAnsi="Sylfaen"/>
          <w:sz w:val="24"/>
          <w:szCs w:val="24"/>
        </w:rPr>
        <w:t xml:space="preserve"> </w:t>
      </w:r>
      <w:r w:rsidRPr="000C625B">
        <w:rPr>
          <w:rFonts w:ascii="Sylfaen" w:hAnsi="Sylfaen" w:cs="Sylfaen"/>
          <w:sz w:val="24"/>
          <w:szCs w:val="24"/>
        </w:rPr>
        <w:t>ამბობს</w:t>
      </w:r>
      <w:r w:rsidRPr="000C625B">
        <w:rPr>
          <w:rFonts w:ascii="Sylfaen" w:hAnsi="Sylfaen"/>
          <w:sz w:val="24"/>
          <w:szCs w:val="24"/>
        </w:rPr>
        <w:t xml:space="preserve"> </w:t>
      </w:r>
      <w:r w:rsidRPr="000C625B">
        <w:rPr>
          <w:rFonts w:ascii="Sylfaen" w:hAnsi="Sylfaen" w:cs="Sylfaen"/>
          <w:sz w:val="24"/>
          <w:szCs w:val="24"/>
        </w:rPr>
        <w:t>კანონმდებლობის</w:t>
      </w:r>
      <w:r w:rsidRPr="000C625B">
        <w:rPr>
          <w:rFonts w:ascii="Sylfaen" w:hAnsi="Sylfaen"/>
          <w:sz w:val="24"/>
          <w:szCs w:val="24"/>
        </w:rPr>
        <w:t xml:space="preserve"> </w:t>
      </w:r>
      <w:r w:rsidRPr="000C625B">
        <w:rPr>
          <w:rFonts w:ascii="Sylfaen" w:hAnsi="Sylfaen" w:cs="Sylfaen"/>
          <w:sz w:val="24"/>
          <w:szCs w:val="24"/>
        </w:rPr>
        <w:t>განმარტებისა</w:t>
      </w:r>
      <w:r w:rsidRPr="000C625B">
        <w:rPr>
          <w:rFonts w:ascii="Sylfaen" w:hAnsi="Sylfaen"/>
          <w:sz w:val="24"/>
          <w:szCs w:val="24"/>
        </w:rPr>
        <w:t xml:space="preserve"> </w:t>
      </w:r>
      <w:r w:rsidRPr="000C625B">
        <w:rPr>
          <w:rFonts w:ascii="Sylfaen" w:hAnsi="Sylfaen" w:cs="Sylfaen"/>
          <w:sz w:val="24"/>
          <w:szCs w:val="24"/>
        </w:rPr>
        <w:t>და</w:t>
      </w:r>
      <w:r w:rsidRPr="000C625B">
        <w:rPr>
          <w:rFonts w:ascii="Sylfaen" w:hAnsi="Sylfaen"/>
          <w:sz w:val="24"/>
          <w:szCs w:val="24"/>
        </w:rPr>
        <w:t xml:space="preserve"> </w:t>
      </w:r>
      <w:r w:rsidRPr="000C625B">
        <w:rPr>
          <w:rFonts w:ascii="Sylfaen" w:hAnsi="Sylfaen" w:cs="Sylfaen"/>
          <w:sz w:val="24"/>
          <w:szCs w:val="24"/>
        </w:rPr>
        <w:t>გამოყენების</w:t>
      </w:r>
      <w:r w:rsidRPr="000C625B">
        <w:rPr>
          <w:rFonts w:ascii="Sylfaen" w:hAnsi="Sylfaen"/>
          <w:sz w:val="24"/>
          <w:szCs w:val="24"/>
        </w:rPr>
        <w:t xml:space="preserve"> </w:t>
      </w:r>
      <w:r w:rsidRPr="000C625B">
        <w:rPr>
          <w:rFonts w:ascii="Sylfaen" w:hAnsi="Sylfaen" w:cs="Sylfaen"/>
          <w:sz w:val="24"/>
          <w:szCs w:val="24"/>
        </w:rPr>
        <w:t>თაობაზე</w:t>
      </w:r>
      <w:r w:rsidRPr="000C625B">
        <w:rPr>
          <w:rFonts w:ascii="Sylfaen" w:hAnsi="Sylfaen"/>
          <w:sz w:val="24"/>
          <w:szCs w:val="24"/>
        </w:rPr>
        <w:t>“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საკონსტიტუციო</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2019 </w:t>
      </w:r>
      <w:r w:rsidRPr="000C625B">
        <w:rPr>
          <w:rFonts w:ascii="Sylfaen" w:hAnsi="Sylfaen" w:cs="Sylfaen"/>
          <w:sz w:val="24"/>
          <w:szCs w:val="24"/>
        </w:rPr>
        <w:t>წლის</w:t>
      </w:r>
      <w:r w:rsidRPr="000C625B">
        <w:rPr>
          <w:rFonts w:ascii="Sylfaen" w:hAnsi="Sylfaen"/>
          <w:sz w:val="24"/>
          <w:szCs w:val="24"/>
        </w:rPr>
        <w:t xml:space="preserve"> 7 </w:t>
      </w:r>
      <w:r w:rsidRPr="000C625B">
        <w:rPr>
          <w:rFonts w:ascii="Sylfaen" w:hAnsi="Sylfaen" w:cs="Sylfaen"/>
          <w:sz w:val="24"/>
          <w:szCs w:val="24"/>
        </w:rPr>
        <w:t>ივნისის</w:t>
      </w:r>
      <w:r w:rsidRPr="000C625B">
        <w:rPr>
          <w:rFonts w:ascii="Sylfaen" w:hAnsi="Sylfaen"/>
          <w:sz w:val="24"/>
          <w:szCs w:val="24"/>
        </w:rPr>
        <w:t xml:space="preserve"> №1/4/693,857 </w:t>
      </w:r>
      <w:r w:rsidRPr="000C625B">
        <w:rPr>
          <w:rFonts w:ascii="Sylfaen" w:hAnsi="Sylfaen" w:cs="Sylfaen"/>
          <w:sz w:val="24"/>
          <w:szCs w:val="24"/>
        </w:rPr>
        <w:t>გადაწყვეტილება</w:t>
      </w:r>
      <w:r w:rsidRPr="000C625B">
        <w:rPr>
          <w:rFonts w:ascii="Sylfaen" w:hAnsi="Sylfaen"/>
          <w:sz w:val="24"/>
          <w:szCs w:val="24"/>
        </w:rPr>
        <w:t xml:space="preserve"> </w:t>
      </w:r>
      <w:r w:rsidRPr="000C625B">
        <w:rPr>
          <w:rFonts w:ascii="Sylfaen" w:hAnsi="Sylfaen" w:cs="Sylfaen"/>
          <w:sz w:val="24"/>
          <w:szCs w:val="24"/>
        </w:rPr>
        <w:t>საქმეზე</w:t>
      </w:r>
      <w:r w:rsidRPr="000C625B">
        <w:rPr>
          <w:rFonts w:ascii="Sylfaen" w:hAnsi="Sylfaen"/>
          <w:sz w:val="24"/>
          <w:szCs w:val="24"/>
        </w:rPr>
        <w:t xml:space="preserve"> „„</w:t>
      </w:r>
      <w:r w:rsidRPr="000C625B">
        <w:rPr>
          <w:rFonts w:ascii="Sylfaen" w:hAnsi="Sylfaen" w:cs="Sylfaen"/>
          <w:sz w:val="24"/>
          <w:szCs w:val="24"/>
        </w:rPr>
        <w:t>ა</w:t>
      </w:r>
      <w:r w:rsidRPr="000C625B">
        <w:rPr>
          <w:rFonts w:ascii="Sylfaen" w:hAnsi="Sylfaen"/>
          <w:sz w:val="24"/>
          <w:szCs w:val="24"/>
        </w:rPr>
        <w:t>(</w:t>
      </w:r>
      <w:r w:rsidRPr="000C625B">
        <w:rPr>
          <w:rFonts w:ascii="Sylfaen" w:hAnsi="Sylfaen" w:cs="Sylfaen"/>
          <w:sz w:val="24"/>
          <w:szCs w:val="24"/>
        </w:rPr>
        <w:t>ა</w:t>
      </w:r>
      <w:r w:rsidRPr="000C625B">
        <w:rPr>
          <w:rFonts w:ascii="Sylfaen" w:hAnsi="Sylfaen"/>
          <w:sz w:val="24"/>
          <w:szCs w:val="24"/>
        </w:rPr>
        <w:t>)</w:t>
      </w:r>
      <w:r w:rsidRPr="000C625B">
        <w:rPr>
          <w:rFonts w:ascii="Sylfaen" w:hAnsi="Sylfaen" w:cs="Sylfaen"/>
          <w:sz w:val="24"/>
          <w:szCs w:val="24"/>
        </w:rPr>
        <w:t>იპ</w:t>
      </w:r>
      <w:r w:rsidRPr="000C625B">
        <w:rPr>
          <w:rFonts w:ascii="Sylfaen" w:hAnsi="Sylfaen"/>
          <w:sz w:val="24"/>
          <w:szCs w:val="24"/>
        </w:rPr>
        <w:t xml:space="preserve"> „</w:t>
      </w:r>
      <w:r w:rsidRPr="000C625B">
        <w:rPr>
          <w:rFonts w:ascii="Sylfaen" w:hAnsi="Sylfaen" w:cs="Sylfaen"/>
          <w:sz w:val="24"/>
          <w:szCs w:val="24"/>
        </w:rPr>
        <w:t>მედიის</w:t>
      </w:r>
      <w:r w:rsidRPr="000C625B">
        <w:rPr>
          <w:rFonts w:ascii="Sylfaen" w:hAnsi="Sylfaen"/>
          <w:sz w:val="24"/>
          <w:szCs w:val="24"/>
        </w:rPr>
        <w:t xml:space="preserve"> </w:t>
      </w:r>
      <w:r w:rsidRPr="000C625B">
        <w:rPr>
          <w:rFonts w:ascii="Sylfaen" w:hAnsi="Sylfaen" w:cs="Sylfaen"/>
          <w:sz w:val="24"/>
          <w:szCs w:val="24"/>
        </w:rPr>
        <w:t>განვითარების</w:t>
      </w:r>
      <w:r w:rsidRPr="000C625B">
        <w:rPr>
          <w:rFonts w:ascii="Sylfaen" w:hAnsi="Sylfaen"/>
          <w:sz w:val="24"/>
          <w:szCs w:val="24"/>
        </w:rPr>
        <w:t xml:space="preserve"> </w:t>
      </w:r>
      <w:r w:rsidRPr="000C625B">
        <w:rPr>
          <w:rFonts w:ascii="Sylfaen" w:hAnsi="Sylfaen" w:cs="Sylfaen"/>
          <w:sz w:val="24"/>
          <w:szCs w:val="24"/>
        </w:rPr>
        <w:t>ფონდი</w:t>
      </w:r>
      <w:r w:rsidRPr="000C625B">
        <w:rPr>
          <w:rFonts w:ascii="Sylfaen" w:hAnsi="Sylfaen"/>
          <w:sz w:val="24"/>
          <w:szCs w:val="24"/>
        </w:rPr>
        <w:t xml:space="preserve">“ </w:t>
      </w:r>
      <w:r w:rsidRPr="000C625B">
        <w:rPr>
          <w:rFonts w:ascii="Sylfaen" w:hAnsi="Sylfaen" w:cs="Sylfaen"/>
          <w:sz w:val="24"/>
          <w:szCs w:val="24"/>
        </w:rPr>
        <w:t>და</w:t>
      </w:r>
      <w:r w:rsidRPr="000C625B">
        <w:rPr>
          <w:rFonts w:ascii="Sylfaen" w:hAnsi="Sylfaen"/>
          <w:sz w:val="24"/>
          <w:szCs w:val="24"/>
        </w:rPr>
        <w:t xml:space="preserve"> </w:t>
      </w:r>
      <w:r w:rsidRPr="000C625B">
        <w:rPr>
          <w:rFonts w:ascii="Sylfaen" w:hAnsi="Sylfaen" w:cs="Sylfaen"/>
          <w:sz w:val="24"/>
          <w:szCs w:val="24"/>
        </w:rPr>
        <w:t>ა</w:t>
      </w:r>
      <w:r w:rsidRPr="000C625B">
        <w:rPr>
          <w:rFonts w:ascii="Sylfaen" w:hAnsi="Sylfaen"/>
          <w:sz w:val="24"/>
          <w:szCs w:val="24"/>
        </w:rPr>
        <w:t>(</w:t>
      </w:r>
      <w:r w:rsidRPr="000C625B">
        <w:rPr>
          <w:rFonts w:ascii="Sylfaen" w:hAnsi="Sylfaen" w:cs="Sylfaen"/>
          <w:sz w:val="24"/>
          <w:szCs w:val="24"/>
        </w:rPr>
        <w:t>ა</w:t>
      </w:r>
      <w:r w:rsidRPr="000C625B">
        <w:rPr>
          <w:rFonts w:ascii="Sylfaen" w:hAnsi="Sylfaen"/>
          <w:sz w:val="24"/>
          <w:szCs w:val="24"/>
        </w:rPr>
        <w:t>)</w:t>
      </w:r>
      <w:r w:rsidRPr="000C625B">
        <w:rPr>
          <w:rFonts w:ascii="Sylfaen" w:hAnsi="Sylfaen" w:cs="Sylfaen"/>
          <w:sz w:val="24"/>
          <w:szCs w:val="24"/>
        </w:rPr>
        <w:t>იპ</w:t>
      </w:r>
      <w:r w:rsidRPr="000C625B">
        <w:rPr>
          <w:rFonts w:ascii="Sylfaen" w:hAnsi="Sylfaen"/>
          <w:sz w:val="24"/>
          <w:szCs w:val="24"/>
        </w:rPr>
        <w:t xml:space="preserve"> „</w:t>
      </w:r>
      <w:r w:rsidRPr="000C625B">
        <w:rPr>
          <w:rFonts w:ascii="Sylfaen" w:hAnsi="Sylfaen" w:cs="Sylfaen"/>
          <w:sz w:val="24"/>
          <w:szCs w:val="24"/>
        </w:rPr>
        <w:t>ინფორმაციის</w:t>
      </w:r>
      <w:r w:rsidRPr="000C625B">
        <w:rPr>
          <w:rFonts w:ascii="Sylfaen" w:hAnsi="Sylfaen"/>
          <w:sz w:val="24"/>
          <w:szCs w:val="24"/>
        </w:rPr>
        <w:t xml:space="preserve"> </w:t>
      </w:r>
      <w:r w:rsidRPr="000C625B">
        <w:rPr>
          <w:rFonts w:ascii="Sylfaen" w:hAnsi="Sylfaen" w:cs="Sylfaen"/>
          <w:sz w:val="24"/>
          <w:szCs w:val="24"/>
        </w:rPr>
        <w:t>თავისუფლების</w:t>
      </w:r>
      <w:r w:rsidRPr="000C625B">
        <w:rPr>
          <w:rFonts w:ascii="Sylfaen" w:hAnsi="Sylfaen"/>
          <w:sz w:val="24"/>
          <w:szCs w:val="24"/>
        </w:rPr>
        <w:t xml:space="preserve"> </w:t>
      </w:r>
      <w:r w:rsidRPr="000C625B">
        <w:rPr>
          <w:rFonts w:ascii="Sylfaen" w:hAnsi="Sylfaen" w:cs="Sylfaen"/>
          <w:sz w:val="24"/>
          <w:szCs w:val="24"/>
        </w:rPr>
        <w:t>განვითარების</w:t>
      </w:r>
      <w:r w:rsidRPr="000C625B">
        <w:rPr>
          <w:rFonts w:ascii="Sylfaen" w:hAnsi="Sylfaen"/>
          <w:sz w:val="24"/>
          <w:szCs w:val="24"/>
        </w:rPr>
        <w:t xml:space="preserve"> </w:t>
      </w:r>
      <w:r w:rsidRPr="000C625B">
        <w:rPr>
          <w:rFonts w:ascii="Sylfaen" w:hAnsi="Sylfaen" w:cs="Sylfaen"/>
          <w:sz w:val="24"/>
          <w:szCs w:val="24"/>
        </w:rPr>
        <w:t>ინსტიტუტი</w:t>
      </w:r>
      <w:r w:rsidRPr="000C625B">
        <w:rPr>
          <w:rFonts w:ascii="Sylfaen" w:hAnsi="Sylfaen"/>
          <w:sz w:val="24"/>
          <w:szCs w:val="24"/>
        </w:rPr>
        <w:t xml:space="preserve">“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პარლამენტის</w:t>
      </w:r>
      <w:r w:rsidRPr="000C625B">
        <w:rPr>
          <w:rFonts w:ascii="Sylfaen" w:hAnsi="Sylfaen"/>
          <w:sz w:val="24"/>
          <w:szCs w:val="24"/>
        </w:rPr>
        <w:t xml:space="preserve"> </w:t>
      </w:r>
      <w:r w:rsidRPr="000C625B">
        <w:rPr>
          <w:rFonts w:ascii="Sylfaen" w:hAnsi="Sylfaen" w:cs="Sylfaen"/>
          <w:sz w:val="24"/>
          <w:szCs w:val="24"/>
        </w:rPr>
        <w:t>წინააღმდეგ</w:t>
      </w:r>
      <w:r w:rsidRPr="000C625B">
        <w:rPr>
          <w:rFonts w:ascii="Sylfaen" w:hAnsi="Sylfaen"/>
          <w:sz w:val="24"/>
          <w:szCs w:val="24"/>
        </w:rPr>
        <w:t xml:space="preserve">", II-49).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საკონსტიტუციო</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w:t>
      </w:r>
      <w:r w:rsidRPr="000C625B">
        <w:rPr>
          <w:rFonts w:ascii="Sylfaen" w:hAnsi="Sylfaen" w:cs="Sylfaen"/>
          <w:sz w:val="24"/>
          <w:szCs w:val="24"/>
        </w:rPr>
        <w:t>არაერთხელ</w:t>
      </w:r>
      <w:r w:rsidRPr="000C625B">
        <w:rPr>
          <w:rFonts w:ascii="Sylfaen" w:hAnsi="Sylfaen"/>
          <w:sz w:val="24"/>
          <w:szCs w:val="24"/>
        </w:rPr>
        <w:t xml:space="preserve"> </w:t>
      </w:r>
      <w:r w:rsidRPr="000C625B">
        <w:rPr>
          <w:rFonts w:ascii="Sylfaen" w:hAnsi="Sylfaen" w:cs="Sylfaen"/>
          <w:sz w:val="24"/>
          <w:szCs w:val="24"/>
        </w:rPr>
        <w:t>აღუნიშნავს</w:t>
      </w:r>
      <w:r w:rsidRPr="000C625B">
        <w:rPr>
          <w:rFonts w:ascii="Sylfaen" w:hAnsi="Sylfaen"/>
          <w:sz w:val="24"/>
          <w:szCs w:val="24"/>
        </w:rPr>
        <w:t xml:space="preserve">, </w:t>
      </w:r>
      <w:r w:rsidRPr="000C625B">
        <w:rPr>
          <w:rFonts w:ascii="Sylfaen" w:hAnsi="Sylfaen" w:cs="Sylfaen"/>
          <w:sz w:val="24"/>
          <w:szCs w:val="24"/>
        </w:rPr>
        <w:t>რომ</w:t>
      </w:r>
      <w:r w:rsidRPr="000C625B">
        <w:rPr>
          <w:rFonts w:ascii="Sylfaen" w:hAnsi="Sylfaen"/>
          <w:sz w:val="24"/>
          <w:szCs w:val="24"/>
        </w:rPr>
        <w:t xml:space="preserve"> „</w:t>
      </w:r>
      <w:r w:rsidRPr="000C625B">
        <w:rPr>
          <w:rFonts w:ascii="Sylfaen" w:hAnsi="Sylfaen" w:cs="Sylfaen"/>
          <w:sz w:val="24"/>
          <w:szCs w:val="24"/>
        </w:rPr>
        <w:t>საერთო</w:t>
      </w:r>
      <w:r w:rsidRPr="000C625B">
        <w:rPr>
          <w:rFonts w:ascii="Sylfaen" w:hAnsi="Sylfaen"/>
          <w:sz w:val="24"/>
          <w:szCs w:val="24"/>
        </w:rPr>
        <w:t xml:space="preserve"> </w:t>
      </w:r>
      <w:r w:rsidRPr="000C625B">
        <w:rPr>
          <w:rFonts w:ascii="Sylfaen" w:hAnsi="Sylfaen" w:cs="Sylfaen"/>
          <w:sz w:val="24"/>
          <w:szCs w:val="24"/>
        </w:rPr>
        <w:t>სასამართლოები</w:t>
      </w:r>
      <w:r w:rsidRPr="000C625B">
        <w:rPr>
          <w:rFonts w:ascii="Sylfaen" w:hAnsi="Sylfaen"/>
          <w:sz w:val="24"/>
          <w:szCs w:val="24"/>
        </w:rPr>
        <w:t xml:space="preserve">, </w:t>
      </w:r>
      <w:r w:rsidRPr="000C625B">
        <w:rPr>
          <w:rFonts w:ascii="Sylfaen" w:hAnsi="Sylfaen" w:cs="Sylfaen"/>
          <w:sz w:val="24"/>
          <w:szCs w:val="24"/>
        </w:rPr>
        <w:t>თავისი</w:t>
      </w:r>
      <w:r w:rsidRPr="000C625B">
        <w:rPr>
          <w:rFonts w:ascii="Sylfaen" w:hAnsi="Sylfaen"/>
          <w:sz w:val="24"/>
          <w:szCs w:val="24"/>
        </w:rPr>
        <w:t xml:space="preserve"> </w:t>
      </w:r>
      <w:r w:rsidRPr="000C625B">
        <w:rPr>
          <w:rFonts w:ascii="Sylfaen" w:hAnsi="Sylfaen" w:cs="Sylfaen"/>
          <w:sz w:val="24"/>
          <w:szCs w:val="24"/>
        </w:rPr>
        <w:t>კომპეტენციის</w:t>
      </w:r>
      <w:r w:rsidRPr="000C625B">
        <w:rPr>
          <w:rFonts w:ascii="Sylfaen" w:hAnsi="Sylfaen"/>
          <w:sz w:val="24"/>
          <w:szCs w:val="24"/>
        </w:rPr>
        <w:t xml:space="preserve"> </w:t>
      </w:r>
      <w:r w:rsidRPr="000C625B">
        <w:rPr>
          <w:rFonts w:ascii="Sylfaen" w:hAnsi="Sylfaen" w:cs="Sylfaen"/>
          <w:sz w:val="24"/>
          <w:szCs w:val="24"/>
        </w:rPr>
        <w:t>ფარგლებში</w:t>
      </w:r>
      <w:r w:rsidRPr="000C625B">
        <w:rPr>
          <w:rFonts w:ascii="Sylfaen" w:hAnsi="Sylfaen"/>
          <w:sz w:val="24"/>
          <w:szCs w:val="24"/>
        </w:rPr>
        <w:t xml:space="preserve">, </w:t>
      </w:r>
      <w:r w:rsidRPr="000C625B">
        <w:rPr>
          <w:rFonts w:ascii="Sylfaen" w:hAnsi="Sylfaen" w:cs="Sylfaen"/>
          <w:sz w:val="24"/>
          <w:szCs w:val="24"/>
        </w:rPr>
        <w:t>იღებენ</w:t>
      </w:r>
      <w:r w:rsidRPr="000C625B">
        <w:rPr>
          <w:rFonts w:ascii="Sylfaen" w:hAnsi="Sylfaen"/>
          <w:sz w:val="24"/>
          <w:szCs w:val="24"/>
        </w:rPr>
        <w:t xml:space="preserve"> </w:t>
      </w:r>
      <w:r w:rsidRPr="000C625B">
        <w:rPr>
          <w:rFonts w:ascii="Sylfaen" w:hAnsi="Sylfaen" w:cs="Sylfaen"/>
          <w:sz w:val="24"/>
          <w:szCs w:val="24"/>
        </w:rPr>
        <w:t>საბოლოო</w:t>
      </w:r>
      <w:r w:rsidRPr="000C625B">
        <w:rPr>
          <w:rFonts w:ascii="Sylfaen" w:hAnsi="Sylfaen"/>
          <w:sz w:val="24"/>
          <w:szCs w:val="24"/>
        </w:rPr>
        <w:t xml:space="preserve"> </w:t>
      </w:r>
      <w:r w:rsidRPr="000C625B">
        <w:rPr>
          <w:rFonts w:ascii="Sylfaen" w:hAnsi="Sylfaen" w:cs="Sylfaen"/>
          <w:sz w:val="24"/>
          <w:szCs w:val="24"/>
        </w:rPr>
        <w:t>გადაწყვეტილებას</w:t>
      </w:r>
      <w:r w:rsidRPr="000C625B">
        <w:rPr>
          <w:rFonts w:ascii="Sylfaen" w:hAnsi="Sylfaen"/>
          <w:sz w:val="24"/>
          <w:szCs w:val="24"/>
        </w:rPr>
        <w:t xml:space="preserve"> </w:t>
      </w:r>
      <w:r w:rsidRPr="000C625B">
        <w:rPr>
          <w:rFonts w:ascii="Sylfaen" w:hAnsi="Sylfaen" w:cs="Sylfaen"/>
          <w:sz w:val="24"/>
          <w:szCs w:val="24"/>
        </w:rPr>
        <w:t>კანონის</w:t>
      </w:r>
      <w:r w:rsidRPr="000C625B">
        <w:rPr>
          <w:rFonts w:ascii="Sylfaen" w:hAnsi="Sylfaen"/>
          <w:sz w:val="24"/>
          <w:szCs w:val="24"/>
        </w:rPr>
        <w:t xml:space="preserve"> </w:t>
      </w:r>
      <w:r w:rsidRPr="000C625B">
        <w:rPr>
          <w:rFonts w:ascii="Sylfaen" w:hAnsi="Sylfaen" w:cs="Sylfaen"/>
          <w:sz w:val="24"/>
          <w:szCs w:val="24"/>
        </w:rPr>
        <w:t>ნორმატიულ</w:t>
      </w:r>
      <w:r w:rsidRPr="000C625B">
        <w:rPr>
          <w:rFonts w:ascii="Sylfaen" w:hAnsi="Sylfaen"/>
          <w:sz w:val="24"/>
          <w:szCs w:val="24"/>
        </w:rPr>
        <w:t xml:space="preserve"> </w:t>
      </w:r>
      <w:r w:rsidRPr="000C625B">
        <w:rPr>
          <w:rFonts w:ascii="Sylfaen" w:hAnsi="Sylfaen" w:cs="Sylfaen"/>
          <w:sz w:val="24"/>
          <w:szCs w:val="24"/>
        </w:rPr>
        <w:t>შინაარსთან</w:t>
      </w:r>
      <w:r w:rsidRPr="000C625B">
        <w:rPr>
          <w:rFonts w:ascii="Sylfaen" w:hAnsi="Sylfaen"/>
          <w:sz w:val="24"/>
          <w:szCs w:val="24"/>
        </w:rPr>
        <w:t xml:space="preserve">, </w:t>
      </w:r>
      <w:r w:rsidRPr="000C625B">
        <w:rPr>
          <w:rFonts w:ascii="Sylfaen" w:hAnsi="Sylfaen" w:cs="Sylfaen"/>
          <w:sz w:val="24"/>
          <w:szCs w:val="24"/>
        </w:rPr>
        <w:t>მის</w:t>
      </w:r>
      <w:r w:rsidRPr="000C625B">
        <w:rPr>
          <w:rFonts w:ascii="Sylfaen" w:hAnsi="Sylfaen"/>
          <w:sz w:val="24"/>
          <w:szCs w:val="24"/>
        </w:rPr>
        <w:t xml:space="preserve"> </w:t>
      </w:r>
      <w:r w:rsidRPr="000C625B">
        <w:rPr>
          <w:rFonts w:ascii="Sylfaen" w:hAnsi="Sylfaen" w:cs="Sylfaen"/>
          <w:sz w:val="24"/>
          <w:szCs w:val="24"/>
        </w:rPr>
        <w:t>პრაქტიკულ</w:t>
      </w:r>
      <w:r w:rsidRPr="000C625B">
        <w:rPr>
          <w:rFonts w:ascii="Sylfaen" w:hAnsi="Sylfaen"/>
          <w:sz w:val="24"/>
          <w:szCs w:val="24"/>
        </w:rPr>
        <w:t xml:space="preserve"> </w:t>
      </w:r>
      <w:r w:rsidRPr="000C625B">
        <w:rPr>
          <w:rFonts w:ascii="Sylfaen" w:hAnsi="Sylfaen" w:cs="Sylfaen"/>
          <w:sz w:val="24"/>
          <w:szCs w:val="24"/>
        </w:rPr>
        <w:t>გამოყენებასთან</w:t>
      </w:r>
      <w:r w:rsidRPr="000C625B">
        <w:rPr>
          <w:rFonts w:ascii="Sylfaen" w:hAnsi="Sylfaen"/>
          <w:sz w:val="24"/>
          <w:szCs w:val="24"/>
        </w:rPr>
        <w:t xml:space="preserve"> </w:t>
      </w:r>
      <w:r w:rsidRPr="000C625B">
        <w:rPr>
          <w:rFonts w:ascii="Sylfaen" w:hAnsi="Sylfaen" w:cs="Sylfaen"/>
          <w:sz w:val="24"/>
          <w:szCs w:val="24"/>
        </w:rPr>
        <w:t>და</w:t>
      </w:r>
      <w:r w:rsidRPr="000C625B">
        <w:rPr>
          <w:rFonts w:ascii="Sylfaen" w:hAnsi="Sylfaen"/>
          <w:sz w:val="24"/>
          <w:szCs w:val="24"/>
        </w:rPr>
        <w:t xml:space="preserve">, </w:t>
      </w:r>
      <w:r w:rsidRPr="000C625B">
        <w:rPr>
          <w:rFonts w:ascii="Sylfaen" w:hAnsi="Sylfaen" w:cs="Sylfaen"/>
          <w:sz w:val="24"/>
          <w:szCs w:val="24"/>
        </w:rPr>
        <w:t>შესაბამისად</w:t>
      </w:r>
      <w:r w:rsidRPr="000C625B">
        <w:rPr>
          <w:rFonts w:ascii="Sylfaen" w:hAnsi="Sylfaen"/>
          <w:sz w:val="24"/>
          <w:szCs w:val="24"/>
        </w:rPr>
        <w:t xml:space="preserve">, </w:t>
      </w:r>
      <w:r w:rsidRPr="000C625B">
        <w:rPr>
          <w:rFonts w:ascii="Sylfaen" w:hAnsi="Sylfaen" w:cs="Sylfaen"/>
          <w:sz w:val="24"/>
          <w:szCs w:val="24"/>
        </w:rPr>
        <w:t>მის</w:t>
      </w:r>
      <w:r w:rsidRPr="000C625B">
        <w:rPr>
          <w:rFonts w:ascii="Sylfaen" w:hAnsi="Sylfaen"/>
          <w:sz w:val="24"/>
          <w:szCs w:val="24"/>
        </w:rPr>
        <w:t xml:space="preserve"> </w:t>
      </w:r>
      <w:r w:rsidRPr="000C625B">
        <w:rPr>
          <w:rFonts w:ascii="Sylfaen" w:hAnsi="Sylfaen" w:cs="Sylfaen"/>
          <w:sz w:val="24"/>
          <w:szCs w:val="24"/>
        </w:rPr>
        <w:t>აღსრულებასთან</w:t>
      </w:r>
      <w:r w:rsidRPr="000C625B">
        <w:rPr>
          <w:rFonts w:ascii="Sylfaen" w:hAnsi="Sylfaen"/>
          <w:sz w:val="24"/>
          <w:szCs w:val="24"/>
        </w:rPr>
        <w:t xml:space="preserve"> </w:t>
      </w:r>
      <w:r w:rsidRPr="000C625B">
        <w:rPr>
          <w:rFonts w:ascii="Sylfaen" w:hAnsi="Sylfaen" w:cs="Sylfaen"/>
          <w:sz w:val="24"/>
          <w:szCs w:val="24"/>
        </w:rPr>
        <w:t>დაკავშირებით</w:t>
      </w:r>
      <w:r w:rsidRPr="000C625B">
        <w:rPr>
          <w:rFonts w:ascii="Sylfaen" w:hAnsi="Sylfaen"/>
          <w:sz w:val="24"/>
          <w:szCs w:val="24"/>
        </w:rPr>
        <w:t xml:space="preserve">. </w:t>
      </w:r>
      <w:r w:rsidRPr="000C625B">
        <w:rPr>
          <w:rFonts w:ascii="Sylfaen" w:hAnsi="Sylfaen" w:cs="Sylfaen"/>
          <w:sz w:val="24"/>
          <w:szCs w:val="24"/>
        </w:rPr>
        <w:t>აღნიშნულიდან</w:t>
      </w:r>
      <w:r w:rsidRPr="000C625B">
        <w:rPr>
          <w:rFonts w:ascii="Sylfaen" w:hAnsi="Sylfaen"/>
          <w:sz w:val="24"/>
          <w:szCs w:val="24"/>
        </w:rPr>
        <w:t xml:space="preserve"> </w:t>
      </w:r>
      <w:r w:rsidRPr="000C625B">
        <w:rPr>
          <w:rFonts w:ascii="Sylfaen" w:hAnsi="Sylfaen" w:cs="Sylfaen"/>
          <w:sz w:val="24"/>
          <w:szCs w:val="24"/>
        </w:rPr>
        <w:t>გამომდინარე</w:t>
      </w:r>
      <w:r w:rsidRPr="000C625B">
        <w:rPr>
          <w:rFonts w:ascii="Sylfaen" w:hAnsi="Sylfaen"/>
          <w:sz w:val="24"/>
          <w:szCs w:val="24"/>
        </w:rPr>
        <w:t xml:space="preserve">, </w:t>
      </w:r>
      <w:r w:rsidRPr="000C625B">
        <w:rPr>
          <w:rFonts w:ascii="Sylfaen" w:hAnsi="Sylfaen" w:cs="Sylfaen"/>
          <w:sz w:val="24"/>
          <w:szCs w:val="24"/>
        </w:rPr>
        <w:t>საერთო</w:t>
      </w:r>
      <w:r w:rsidRPr="000C625B">
        <w:rPr>
          <w:rFonts w:ascii="Sylfaen" w:hAnsi="Sylfaen"/>
          <w:sz w:val="24"/>
          <w:szCs w:val="24"/>
        </w:rPr>
        <w:t xml:space="preserve"> </w:t>
      </w:r>
      <w:r w:rsidRPr="000C625B">
        <w:rPr>
          <w:rFonts w:ascii="Sylfaen" w:hAnsi="Sylfaen" w:cs="Sylfaen"/>
          <w:sz w:val="24"/>
          <w:szCs w:val="24"/>
        </w:rPr>
        <w:t>სასამართლოების</w:t>
      </w:r>
      <w:r w:rsidRPr="000C625B">
        <w:rPr>
          <w:rFonts w:ascii="Sylfaen" w:hAnsi="Sylfaen"/>
          <w:sz w:val="24"/>
          <w:szCs w:val="24"/>
        </w:rPr>
        <w:t xml:space="preserve"> </w:t>
      </w:r>
      <w:r w:rsidRPr="000C625B">
        <w:rPr>
          <w:rFonts w:ascii="Sylfaen" w:hAnsi="Sylfaen" w:cs="Sylfaen"/>
          <w:sz w:val="24"/>
          <w:szCs w:val="24"/>
        </w:rPr>
        <w:t>მიერ</w:t>
      </w:r>
      <w:r w:rsidRPr="000C625B">
        <w:rPr>
          <w:rFonts w:ascii="Sylfaen" w:hAnsi="Sylfaen"/>
          <w:sz w:val="24"/>
          <w:szCs w:val="24"/>
        </w:rPr>
        <w:t xml:space="preserve"> </w:t>
      </w:r>
      <w:r w:rsidRPr="000C625B">
        <w:rPr>
          <w:rFonts w:ascii="Sylfaen" w:hAnsi="Sylfaen" w:cs="Sylfaen"/>
          <w:sz w:val="24"/>
          <w:szCs w:val="24"/>
        </w:rPr>
        <w:t>გაკეთებულ</w:t>
      </w:r>
      <w:r w:rsidRPr="000C625B">
        <w:rPr>
          <w:rFonts w:ascii="Sylfaen" w:hAnsi="Sylfaen"/>
          <w:sz w:val="24"/>
          <w:szCs w:val="24"/>
        </w:rPr>
        <w:t xml:space="preserve"> </w:t>
      </w:r>
      <w:r w:rsidRPr="000C625B">
        <w:rPr>
          <w:rFonts w:ascii="Sylfaen" w:hAnsi="Sylfaen" w:cs="Sylfaen"/>
          <w:sz w:val="24"/>
          <w:szCs w:val="24"/>
        </w:rPr>
        <w:t>განმარტებას</w:t>
      </w:r>
      <w:r w:rsidRPr="000C625B">
        <w:rPr>
          <w:rFonts w:ascii="Sylfaen" w:hAnsi="Sylfaen"/>
          <w:sz w:val="24"/>
          <w:szCs w:val="24"/>
        </w:rPr>
        <w:t xml:space="preserve"> </w:t>
      </w:r>
      <w:r w:rsidRPr="000C625B">
        <w:rPr>
          <w:rFonts w:ascii="Sylfaen" w:hAnsi="Sylfaen" w:cs="Sylfaen"/>
          <w:sz w:val="24"/>
          <w:szCs w:val="24"/>
        </w:rPr>
        <w:t>აქვს</w:t>
      </w:r>
      <w:r w:rsidRPr="000C625B">
        <w:rPr>
          <w:rFonts w:ascii="Sylfaen" w:hAnsi="Sylfaen"/>
          <w:sz w:val="24"/>
          <w:szCs w:val="24"/>
        </w:rPr>
        <w:t xml:space="preserve"> </w:t>
      </w:r>
      <w:r w:rsidRPr="000C625B">
        <w:rPr>
          <w:rFonts w:ascii="Sylfaen" w:hAnsi="Sylfaen" w:cs="Sylfaen"/>
          <w:sz w:val="24"/>
          <w:szCs w:val="24"/>
        </w:rPr>
        <w:t>დიდი</w:t>
      </w:r>
      <w:r w:rsidRPr="000C625B">
        <w:rPr>
          <w:rFonts w:ascii="Sylfaen" w:hAnsi="Sylfaen"/>
          <w:sz w:val="24"/>
          <w:szCs w:val="24"/>
        </w:rPr>
        <w:t xml:space="preserve"> </w:t>
      </w:r>
      <w:r w:rsidRPr="000C625B">
        <w:rPr>
          <w:rFonts w:ascii="Sylfaen" w:hAnsi="Sylfaen" w:cs="Sylfaen"/>
          <w:sz w:val="24"/>
          <w:szCs w:val="24"/>
        </w:rPr>
        <w:t>მნიშვნელობა</w:t>
      </w:r>
      <w:r w:rsidRPr="000C625B">
        <w:rPr>
          <w:rFonts w:ascii="Sylfaen" w:hAnsi="Sylfaen"/>
          <w:sz w:val="24"/>
          <w:szCs w:val="24"/>
        </w:rPr>
        <w:t xml:space="preserve"> </w:t>
      </w:r>
      <w:r w:rsidRPr="000C625B">
        <w:rPr>
          <w:rFonts w:ascii="Sylfaen" w:hAnsi="Sylfaen" w:cs="Sylfaen"/>
          <w:sz w:val="24"/>
          <w:szCs w:val="24"/>
        </w:rPr>
        <w:t>კანონის</w:t>
      </w:r>
      <w:r w:rsidRPr="000C625B">
        <w:rPr>
          <w:rFonts w:ascii="Sylfaen" w:hAnsi="Sylfaen"/>
          <w:sz w:val="24"/>
          <w:szCs w:val="24"/>
        </w:rPr>
        <w:t xml:space="preserve"> </w:t>
      </w:r>
      <w:r w:rsidRPr="000C625B">
        <w:rPr>
          <w:rFonts w:ascii="Sylfaen" w:hAnsi="Sylfaen" w:cs="Sylfaen"/>
          <w:sz w:val="24"/>
          <w:szCs w:val="24"/>
        </w:rPr>
        <w:t>რეალური</w:t>
      </w:r>
      <w:r w:rsidRPr="000C625B">
        <w:rPr>
          <w:rFonts w:ascii="Sylfaen" w:hAnsi="Sylfaen"/>
          <w:sz w:val="24"/>
          <w:szCs w:val="24"/>
        </w:rPr>
        <w:t xml:space="preserve"> </w:t>
      </w:r>
      <w:r w:rsidRPr="000C625B">
        <w:rPr>
          <w:rFonts w:ascii="Sylfaen" w:hAnsi="Sylfaen" w:cs="Sylfaen"/>
          <w:sz w:val="24"/>
          <w:szCs w:val="24"/>
        </w:rPr>
        <w:t>შინაარსის</w:t>
      </w:r>
      <w:r w:rsidRPr="000C625B">
        <w:rPr>
          <w:rFonts w:ascii="Sylfaen" w:hAnsi="Sylfaen"/>
          <w:sz w:val="24"/>
          <w:szCs w:val="24"/>
        </w:rPr>
        <w:t xml:space="preserve"> </w:t>
      </w:r>
      <w:r w:rsidRPr="000C625B">
        <w:rPr>
          <w:rFonts w:ascii="Sylfaen" w:hAnsi="Sylfaen" w:cs="Sylfaen"/>
          <w:sz w:val="24"/>
          <w:szCs w:val="24"/>
        </w:rPr>
        <w:t>განსაზღვრისას</w:t>
      </w:r>
      <w:r w:rsidRPr="000C625B">
        <w:rPr>
          <w:rFonts w:ascii="Sylfaen" w:hAnsi="Sylfaen"/>
          <w:sz w:val="24"/>
          <w:szCs w:val="24"/>
        </w:rPr>
        <w:t>“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საკონსტიტუციო</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2015 </w:t>
      </w:r>
      <w:r w:rsidRPr="000C625B">
        <w:rPr>
          <w:rFonts w:ascii="Sylfaen" w:hAnsi="Sylfaen" w:cs="Sylfaen"/>
          <w:sz w:val="24"/>
          <w:szCs w:val="24"/>
        </w:rPr>
        <w:t>წლის</w:t>
      </w:r>
      <w:r w:rsidRPr="000C625B">
        <w:rPr>
          <w:rFonts w:ascii="Sylfaen" w:hAnsi="Sylfaen"/>
          <w:sz w:val="24"/>
          <w:szCs w:val="24"/>
        </w:rPr>
        <w:t xml:space="preserve"> 4 </w:t>
      </w:r>
      <w:r w:rsidRPr="000C625B">
        <w:rPr>
          <w:rFonts w:ascii="Sylfaen" w:hAnsi="Sylfaen" w:cs="Sylfaen"/>
          <w:sz w:val="24"/>
          <w:szCs w:val="24"/>
        </w:rPr>
        <w:t>მარტის</w:t>
      </w:r>
      <w:r w:rsidRPr="000C625B">
        <w:rPr>
          <w:rFonts w:ascii="Sylfaen" w:hAnsi="Sylfaen"/>
          <w:sz w:val="24"/>
          <w:szCs w:val="24"/>
        </w:rPr>
        <w:t xml:space="preserve"> №1/2/552 </w:t>
      </w:r>
      <w:r w:rsidRPr="000C625B">
        <w:rPr>
          <w:rFonts w:ascii="Sylfaen" w:hAnsi="Sylfaen" w:cs="Sylfaen"/>
          <w:sz w:val="24"/>
          <w:szCs w:val="24"/>
        </w:rPr>
        <w:t>გადაწყვეტილება</w:t>
      </w:r>
      <w:r w:rsidRPr="000C625B">
        <w:rPr>
          <w:rFonts w:ascii="Sylfaen" w:hAnsi="Sylfaen"/>
          <w:sz w:val="24"/>
          <w:szCs w:val="24"/>
        </w:rPr>
        <w:t xml:space="preserve"> </w:t>
      </w:r>
      <w:r w:rsidRPr="000C625B">
        <w:rPr>
          <w:rFonts w:ascii="Sylfaen" w:hAnsi="Sylfaen" w:cs="Sylfaen"/>
          <w:sz w:val="24"/>
          <w:szCs w:val="24"/>
        </w:rPr>
        <w:t>საქმეზე</w:t>
      </w:r>
      <w:r w:rsidRPr="000C625B">
        <w:rPr>
          <w:rFonts w:ascii="Sylfaen" w:hAnsi="Sylfaen"/>
          <w:sz w:val="24"/>
          <w:szCs w:val="24"/>
        </w:rPr>
        <w:t xml:space="preserve"> „</w:t>
      </w:r>
      <w:r w:rsidRPr="000C625B">
        <w:rPr>
          <w:rFonts w:ascii="Sylfaen" w:hAnsi="Sylfaen" w:cs="Sylfaen"/>
          <w:sz w:val="24"/>
          <w:szCs w:val="24"/>
        </w:rPr>
        <w:t>სს</w:t>
      </w:r>
      <w:r w:rsidRPr="000C625B">
        <w:rPr>
          <w:rFonts w:ascii="Sylfaen" w:hAnsi="Sylfaen"/>
          <w:sz w:val="24"/>
          <w:szCs w:val="24"/>
        </w:rPr>
        <w:t xml:space="preserve"> „</w:t>
      </w:r>
      <w:proofErr w:type="spellStart"/>
      <w:r w:rsidRPr="000C625B">
        <w:rPr>
          <w:rFonts w:ascii="Sylfaen" w:hAnsi="Sylfaen" w:cs="Sylfaen"/>
          <w:sz w:val="24"/>
          <w:szCs w:val="24"/>
        </w:rPr>
        <w:t>ლიბერთი</w:t>
      </w:r>
      <w:proofErr w:type="spellEnd"/>
      <w:r w:rsidRPr="000C625B">
        <w:rPr>
          <w:rFonts w:ascii="Sylfaen" w:hAnsi="Sylfaen"/>
          <w:sz w:val="24"/>
          <w:szCs w:val="24"/>
        </w:rPr>
        <w:t xml:space="preserve"> </w:t>
      </w:r>
      <w:r w:rsidRPr="000C625B">
        <w:rPr>
          <w:rFonts w:ascii="Sylfaen" w:hAnsi="Sylfaen" w:cs="Sylfaen"/>
          <w:sz w:val="24"/>
          <w:szCs w:val="24"/>
        </w:rPr>
        <w:t>ბანკი</w:t>
      </w:r>
      <w:r w:rsidRPr="000C625B">
        <w:rPr>
          <w:rFonts w:ascii="Sylfaen" w:hAnsi="Sylfaen"/>
          <w:sz w:val="24"/>
          <w:szCs w:val="24"/>
        </w:rPr>
        <w:t xml:space="preserve">“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პარლამენტის</w:t>
      </w:r>
      <w:r w:rsidRPr="000C625B">
        <w:rPr>
          <w:rFonts w:ascii="Sylfaen" w:hAnsi="Sylfaen"/>
          <w:sz w:val="24"/>
          <w:szCs w:val="24"/>
        </w:rPr>
        <w:t xml:space="preserve"> </w:t>
      </w:r>
      <w:r w:rsidRPr="000C625B">
        <w:rPr>
          <w:rFonts w:ascii="Sylfaen" w:hAnsi="Sylfaen" w:cs="Sylfaen"/>
          <w:sz w:val="24"/>
          <w:szCs w:val="24"/>
        </w:rPr>
        <w:t>წინააღმდეგ</w:t>
      </w:r>
      <w:r w:rsidRPr="000C625B">
        <w:rPr>
          <w:rFonts w:ascii="Sylfaen" w:hAnsi="Sylfaen"/>
          <w:sz w:val="24"/>
          <w:szCs w:val="24"/>
        </w:rPr>
        <w:t xml:space="preserve">“, II-16). </w:t>
      </w:r>
      <w:r w:rsidRPr="000C625B">
        <w:rPr>
          <w:rFonts w:ascii="Sylfaen" w:hAnsi="Sylfaen" w:cs="Sylfaen"/>
          <w:sz w:val="24"/>
          <w:szCs w:val="24"/>
        </w:rPr>
        <w:t>სასამართლოს</w:t>
      </w:r>
      <w:r w:rsidRPr="000C625B">
        <w:rPr>
          <w:rFonts w:ascii="Sylfaen" w:hAnsi="Sylfaen"/>
          <w:sz w:val="24"/>
          <w:szCs w:val="24"/>
        </w:rPr>
        <w:t xml:space="preserve"> </w:t>
      </w:r>
      <w:r w:rsidRPr="000C625B">
        <w:rPr>
          <w:rFonts w:ascii="Sylfaen" w:hAnsi="Sylfaen" w:cs="Sylfaen"/>
          <w:sz w:val="24"/>
          <w:szCs w:val="24"/>
        </w:rPr>
        <w:t>გადაწყვეტილებების</w:t>
      </w:r>
      <w:r w:rsidRPr="000C625B">
        <w:rPr>
          <w:rFonts w:ascii="Sylfaen" w:hAnsi="Sylfaen"/>
          <w:sz w:val="24"/>
          <w:szCs w:val="24"/>
        </w:rPr>
        <w:t xml:space="preserve"> </w:t>
      </w:r>
      <w:r w:rsidRPr="000C625B">
        <w:rPr>
          <w:rFonts w:ascii="Sylfaen" w:hAnsi="Sylfaen" w:cs="Sylfaen"/>
          <w:sz w:val="24"/>
          <w:szCs w:val="24"/>
        </w:rPr>
        <w:t>ხელმისაწვდომობა</w:t>
      </w:r>
      <w:r w:rsidRPr="000C625B">
        <w:rPr>
          <w:rFonts w:ascii="Sylfaen" w:hAnsi="Sylfaen"/>
          <w:sz w:val="24"/>
          <w:szCs w:val="24"/>
        </w:rPr>
        <w:t xml:space="preserve"> </w:t>
      </w:r>
      <w:r w:rsidRPr="000C625B">
        <w:rPr>
          <w:rFonts w:ascii="Sylfaen" w:hAnsi="Sylfaen" w:cs="Sylfaen"/>
          <w:sz w:val="24"/>
          <w:szCs w:val="24"/>
        </w:rPr>
        <w:t>უზრუნველყოფს</w:t>
      </w:r>
      <w:r w:rsidRPr="000C625B">
        <w:rPr>
          <w:rFonts w:ascii="Sylfaen" w:hAnsi="Sylfaen"/>
          <w:sz w:val="24"/>
          <w:szCs w:val="24"/>
        </w:rPr>
        <w:t xml:space="preserve"> </w:t>
      </w:r>
      <w:r w:rsidRPr="000C625B">
        <w:rPr>
          <w:rFonts w:ascii="Sylfaen" w:hAnsi="Sylfaen" w:cs="Sylfaen"/>
          <w:sz w:val="24"/>
          <w:szCs w:val="24"/>
        </w:rPr>
        <w:t>პირის</w:t>
      </w:r>
      <w:r w:rsidRPr="000C625B">
        <w:rPr>
          <w:rFonts w:ascii="Sylfaen" w:hAnsi="Sylfaen"/>
          <w:sz w:val="24"/>
          <w:szCs w:val="24"/>
        </w:rPr>
        <w:t xml:space="preserve"> </w:t>
      </w:r>
      <w:r w:rsidRPr="000C625B">
        <w:rPr>
          <w:rFonts w:ascii="Sylfaen" w:hAnsi="Sylfaen" w:cs="Sylfaen"/>
          <w:sz w:val="24"/>
          <w:szCs w:val="24"/>
        </w:rPr>
        <w:t>შესაძლებლობას</w:t>
      </w:r>
      <w:r w:rsidRPr="000C625B">
        <w:rPr>
          <w:rFonts w:ascii="Sylfaen" w:hAnsi="Sylfaen"/>
          <w:sz w:val="24"/>
          <w:szCs w:val="24"/>
        </w:rPr>
        <w:t xml:space="preserve">, </w:t>
      </w:r>
      <w:r w:rsidRPr="000C625B">
        <w:rPr>
          <w:rFonts w:ascii="Sylfaen" w:hAnsi="Sylfaen" w:cs="Sylfaen"/>
          <w:sz w:val="24"/>
          <w:szCs w:val="24"/>
        </w:rPr>
        <w:t>იცოდეს</w:t>
      </w:r>
      <w:r w:rsidRPr="000C625B">
        <w:rPr>
          <w:rFonts w:ascii="Sylfaen" w:hAnsi="Sylfaen"/>
          <w:sz w:val="24"/>
          <w:szCs w:val="24"/>
        </w:rPr>
        <w:t xml:space="preserve"> </w:t>
      </w:r>
      <w:r w:rsidRPr="000C625B">
        <w:rPr>
          <w:rFonts w:ascii="Sylfaen" w:hAnsi="Sylfaen" w:cs="Sylfaen"/>
          <w:sz w:val="24"/>
          <w:szCs w:val="24"/>
        </w:rPr>
        <w:t>კანონმდებლობის</w:t>
      </w:r>
      <w:r w:rsidRPr="000C625B">
        <w:rPr>
          <w:rFonts w:ascii="Sylfaen" w:hAnsi="Sylfaen"/>
          <w:sz w:val="24"/>
          <w:szCs w:val="24"/>
        </w:rPr>
        <w:t xml:space="preserve"> </w:t>
      </w:r>
      <w:r w:rsidRPr="000C625B">
        <w:rPr>
          <w:rFonts w:ascii="Sylfaen" w:hAnsi="Sylfaen" w:cs="Sylfaen"/>
          <w:sz w:val="24"/>
          <w:szCs w:val="24"/>
        </w:rPr>
        <w:t>შინაარსი</w:t>
      </w:r>
      <w:r w:rsidRPr="000C625B">
        <w:rPr>
          <w:rFonts w:ascii="Sylfaen" w:hAnsi="Sylfaen"/>
          <w:sz w:val="24"/>
          <w:szCs w:val="24"/>
        </w:rPr>
        <w:t xml:space="preserve">, </w:t>
      </w:r>
      <w:r w:rsidRPr="000C625B">
        <w:rPr>
          <w:rFonts w:ascii="Sylfaen" w:hAnsi="Sylfaen" w:cs="Sylfaen"/>
          <w:sz w:val="24"/>
          <w:szCs w:val="24"/>
        </w:rPr>
        <w:t>როგორ</w:t>
      </w:r>
      <w:r w:rsidRPr="000C625B">
        <w:rPr>
          <w:rFonts w:ascii="Sylfaen" w:hAnsi="Sylfaen"/>
          <w:sz w:val="24"/>
          <w:szCs w:val="24"/>
        </w:rPr>
        <w:t xml:space="preserve"> </w:t>
      </w:r>
      <w:r w:rsidRPr="000C625B">
        <w:rPr>
          <w:rFonts w:ascii="Sylfaen" w:hAnsi="Sylfaen" w:cs="Sylfaen"/>
          <w:sz w:val="24"/>
          <w:szCs w:val="24"/>
        </w:rPr>
        <w:t>ხდება</w:t>
      </w:r>
      <w:r w:rsidRPr="000C625B">
        <w:rPr>
          <w:rFonts w:ascii="Sylfaen" w:hAnsi="Sylfaen"/>
          <w:sz w:val="24"/>
          <w:szCs w:val="24"/>
        </w:rPr>
        <w:t xml:space="preserve"> </w:t>
      </w:r>
      <w:r w:rsidRPr="000C625B">
        <w:rPr>
          <w:rFonts w:ascii="Sylfaen" w:hAnsi="Sylfaen" w:cs="Sylfaen"/>
          <w:sz w:val="24"/>
          <w:szCs w:val="24"/>
        </w:rPr>
        <w:t>მისი</w:t>
      </w:r>
      <w:r w:rsidRPr="000C625B">
        <w:rPr>
          <w:rFonts w:ascii="Sylfaen" w:hAnsi="Sylfaen"/>
          <w:sz w:val="24"/>
          <w:szCs w:val="24"/>
        </w:rPr>
        <w:t xml:space="preserve"> </w:t>
      </w:r>
      <w:r w:rsidRPr="000C625B">
        <w:rPr>
          <w:rFonts w:ascii="Sylfaen" w:hAnsi="Sylfaen" w:cs="Sylfaen"/>
          <w:sz w:val="24"/>
          <w:szCs w:val="24"/>
        </w:rPr>
        <w:t>პრაქტიკაში</w:t>
      </w:r>
      <w:r w:rsidRPr="000C625B">
        <w:rPr>
          <w:rFonts w:ascii="Sylfaen" w:hAnsi="Sylfaen"/>
          <w:sz w:val="24"/>
          <w:szCs w:val="24"/>
        </w:rPr>
        <w:t xml:space="preserve"> </w:t>
      </w:r>
      <w:r w:rsidRPr="000C625B">
        <w:rPr>
          <w:rFonts w:ascii="Sylfaen" w:hAnsi="Sylfaen" w:cs="Sylfaen"/>
          <w:sz w:val="24"/>
          <w:szCs w:val="24"/>
        </w:rPr>
        <w:t>გამოყენება</w:t>
      </w:r>
      <w:r w:rsidRPr="000C625B">
        <w:rPr>
          <w:rFonts w:ascii="Sylfaen" w:hAnsi="Sylfaen"/>
          <w:sz w:val="24"/>
          <w:szCs w:val="24"/>
        </w:rPr>
        <w:t xml:space="preserve"> </w:t>
      </w:r>
      <w:r w:rsidRPr="000C625B">
        <w:rPr>
          <w:rFonts w:ascii="Sylfaen" w:hAnsi="Sylfaen" w:cs="Sylfaen"/>
          <w:sz w:val="24"/>
          <w:szCs w:val="24"/>
        </w:rPr>
        <w:t>და</w:t>
      </w:r>
      <w:r w:rsidRPr="000C625B">
        <w:rPr>
          <w:rFonts w:ascii="Sylfaen" w:hAnsi="Sylfaen"/>
          <w:sz w:val="24"/>
          <w:szCs w:val="24"/>
        </w:rPr>
        <w:t xml:space="preserve"> </w:t>
      </w:r>
      <w:r w:rsidRPr="000C625B">
        <w:rPr>
          <w:rFonts w:ascii="Sylfaen" w:hAnsi="Sylfaen" w:cs="Sylfaen"/>
          <w:sz w:val="24"/>
          <w:szCs w:val="24"/>
        </w:rPr>
        <w:t>რას</w:t>
      </w:r>
      <w:r w:rsidRPr="000C625B">
        <w:rPr>
          <w:rFonts w:ascii="Sylfaen" w:hAnsi="Sylfaen"/>
          <w:sz w:val="24"/>
          <w:szCs w:val="24"/>
        </w:rPr>
        <w:t xml:space="preserve"> </w:t>
      </w:r>
      <w:r w:rsidRPr="000C625B">
        <w:rPr>
          <w:rFonts w:ascii="Sylfaen" w:hAnsi="Sylfaen" w:cs="Sylfaen"/>
          <w:sz w:val="24"/>
          <w:szCs w:val="24"/>
        </w:rPr>
        <w:t>მოითხოვს</w:t>
      </w:r>
      <w:r w:rsidRPr="000C625B">
        <w:rPr>
          <w:rFonts w:ascii="Sylfaen" w:hAnsi="Sylfaen"/>
          <w:sz w:val="24"/>
          <w:szCs w:val="24"/>
        </w:rPr>
        <w:t xml:space="preserve"> </w:t>
      </w:r>
      <w:r w:rsidRPr="000C625B">
        <w:rPr>
          <w:rFonts w:ascii="Sylfaen" w:hAnsi="Sylfaen" w:cs="Sylfaen"/>
          <w:sz w:val="24"/>
          <w:szCs w:val="24"/>
        </w:rPr>
        <w:t>თითოეული</w:t>
      </w:r>
      <w:r w:rsidRPr="000C625B">
        <w:rPr>
          <w:rFonts w:ascii="Sylfaen" w:hAnsi="Sylfaen"/>
          <w:sz w:val="24"/>
          <w:szCs w:val="24"/>
        </w:rPr>
        <w:t xml:space="preserve"> </w:t>
      </w:r>
      <w:r w:rsidRPr="000C625B">
        <w:rPr>
          <w:rFonts w:ascii="Sylfaen" w:hAnsi="Sylfaen" w:cs="Sylfaen"/>
          <w:sz w:val="24"/>
          <w:szCs w:val="24"/>
        </w:rPr>
        <w:t>ნორმატიული</w:t>
      </w:r>
      <w:r w:rsidRPr="000C625B">
        <w:rPr>
          <w:rFonts w:ascii="Sylfaen" w:hAnsi="Sylfaen"/>
          <w:sz w:val="24"/>
          <w:szCs w:val="24"/>
        </w:rPr>
        <w:t xml:space="preserve"> </w:t>
      </w:r>
      <w:r w:rsidRPr="000C625B">
        <w:rPr>
          <w:rFonts w:ascii="Sylfaen" w:hAnsi="Sylfaen" w:cs="Sylfaen"/>
          <w:sz w:val="24"/>
          <w:szCs w:val="24"/>
        </w:rPr>
        <w:t>რეგულაცია</w:t>
      </w:r>
      <w:r w:rsidRPr="000C625B">
        <w:rPr>
          <w:rFonts w:ascii="Sylfaen" w:hAnsi="Sylfaen"/>
          <w:sz w:val="24"/>
          <w:szCs w:val="24"/>
        </w:rPr>
        <w:t xml:space="preserve"> </w:t>
      </w:r>
      <w:r w:rsidRPr="000C625B">
        <w:rPr>
          <w:rFonts w:ascii="Sylfaen" w:hAnsi="Sylfaen" w:cs="Sylfaen"/>
          <w:sz w:val="24"/>
          <w:szCs w:val="24"/>
        </w:rPr>
        <w:t>მისი</w:t>
      </w:r>
      <w:r w:rsidRPr="000C625B">
        <w:rPr>
          <w:rFonts w:ascii="Sylfaen" w:hAnsi="Sylfaen"/>
          <w:sz w:val="24"/>
          <w:szCs w:val="24"/>
        </w:rPr>
        <w:t xml:space="preserve"> </w:t>
      </w:r>
      <w:r w:rsidRPr="000C625B">
        <w:rPr>
          <w:rFonts w:ascii="Sylfaen" w:hAnsi="Sylfaen" w:cs="Sylfaen"/>
          <w:sz w:val="24"/>
          <w:szCs w:val="24"/>
        </w:rPr>
        <w:t>ადრესატებისაგან</w:t>
      </w:r>
      <w:r w:rsidRPr="000C625B">
        <w:rPr>
          <w:rFonts w:ascii="Sylfaen" w:hAnsi="Sylfaen"/>
          <w:sz w:val="24"/>
          <w:szCs w:val="24"/>
        </w:rPr>
        <w:t xml:space="preserve"> (</w:t>
      </w:r>
      <w:r w:rsidRPr="000C625B">
        <w:rPr>
          <w:rFonts w:ascii="Sylfaen" w:hAnsi="Sylfaen" w:cs="Sylfaen"/>
          <w:sz w:val="24"/>
          <w:szCs w:val="24"/>
        </w:rPr>
        <w:t>იხ</w:t>
      </w:r>
      <w:r w:rsidRPr="000C625B">
        <w:rPr>
          <w:rFonts w:ascii="Sylfaen" w:hAnsi="Sylfaen"/>
          <w:sz w:val="24"/>
          <w:szCs w:val="24"/>
        </w:rPr>
        <w:t xml:space="preserve">.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საკონსტიტუციო</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2019 </w:t>
      </w:r>
      <w:r w:rsidRPr="000C625B">
        <w:rPr>
          <w:rFonts w:ascii="Sylfaen" w:hAnsi="Sylfaen" w:cs="Sylfaen"/>
          <w:sz w:val="24"/>
          <w:szCs w:val="24"/>
        </w:rPr>
        <w:t>წლის</w:t>
      </w:r>
      <w:r w:rsidRPr="000C625B">
        <w:rPr>
          <w:rFonts w:ascii="Sylfaen" w:hAnsi="Sylfaen"/>
          <w:sz w:val="24"/>
          <w:szCs w:val="24"/>
        </w:rPr>
        <w:t xml:space="preserve"> 7 </w:t>
      </w:r>
      <w:r w:rsidRPr="000C625B">
        <w:rPr>
          <w:rFonts w:ascii="Sylfaen" w:hAnsi="Sylfaen" w:cs="Sylfaen"/>
          <w:sz w:val="24"/>
          <w:szCs w:val="24"/>
        </w:rPr>
        <w:t>ივნისის</w:t>
      </w:r>
      <w:r w:rsidRPr="000C625B">
        <w:rPr>
          <w:rFonts w:ascii="Sylfaen" w:hAnsi="Sylfaen"/>
          <w:sz w:val="24"/>
          <w:szCs w:val="24"/>
        </w:rPr>
        <w:t xml:space="preserve"> №1/4/693,857 </w:t>
      </w:r>
      <w:r w:rsidRPr="000C625B">
        <w:rPr>
          <w:rFonts w:ascii="Sylfaen" w:hAnsi="Sylfaen" w:cs="Sylfaen"/>
          <w:sz w:val="24"/>
          <w:szCs w:val="24"/>
        </w:rPr>
        <w:t>გადაწყვეტილება</w:t>
      </w:r>
      <w:r w:rsidRPr="000C625B">
        <w:rPr>
          <w:rFonts w:ascii="Sylfaen" w:hAnsi="Sylfaen"/>
          <w:sz w:val="24"/>
          <w:szCs w:val="24"/>
        </w:rPr>
        <w:t xml:space="preserve"> </w:t>
      </w:r>
      <w:r w:rsidRPr="000C625B">
        <w:rPr>
          <w:rFonts w:ascii="Sylfaen" w:hAnsi="Sylfaen" w:cs="Sylfaen"/>
          <w:sz w:val="24"/>
          <w:szCs w:val="24"/>
        </w:rPr>
        <w:t>საქმეზე</w:t>
      </w:r>
      <w:r w:rsidRPr="000C625B">
        <w:rPr>
          <w:rFonts w:ascii="Sylfaen" w:hAnsi="Sylfaen"/>
          <w:sz w:val="24"/>
          <w:szCs w:val="24"/>
        </w:rPr>
        <w:t xml:space="preserve"> „„</w:t>
      </w:r>
      <w:r w:rsidRPr="000C625B">
        <w:rPr>
          <w:rFonts w:ascii="Sylfaen" w:hAnsi="Sylfaen" w:cs="Sylfaen"/>
          <w:sz w:val="24"/>
          <w:szCs w:val="24"/>
        </w:rPr>
        <w:t>ა</w:t>
      </w:r>
      <w:r w:rsidRPr="000C625B">
        <w:rPr>
          <w:rFonts w:ascii="Sylfaen" w:hAnsi="Sylfaen"/>
          <w:sz w:val="24"/>
          <w:szCs w:val="24"/>
        </w:rPr>
        <w:t>(</w:t>
      </w:r>
      <w:r w:rsidRPr="000C625B">
        <w:rPr>
          <w:rFonts w:ascii="Sylfaen" w:hAnsi="Sylfaen" w:cs="Sylfaen"/>
          <w:sz w:val="24"/>
          <w:szCs w:val="24"/>
        </w:rPr>
        <w:t>ა</w:t>
      </w:r>
      <w:r w:rsidRPr="000C625B">
        <w:rPr>
          <w:rFonts w:ascii="Sylfaen" w:hAnsi="Sylfaen"/>
          <w:sz w:val="24"/>
          <w:szCs w:val="24"/>
        </w:rPr>
        <w:t>)</w:t>
      </w:r>
      <w:r w:rsidRPr="000C625B">
        <w:rPr>
          <w:rFonts w:ascii="Sylfaen" w:hAnsi="Sylfaen" w:cs="Sylfaen"/>
          <w:sz w:val="24"/>
          <w:szCs w:val="24"/>
        </w:rPr>
        <w:t>იპ</w:t>
      </w:r>
      <w:r w:rsidRPr="000C625B">
        <w:rPr>
          <w:rFonts w:ascii="Sylfaen" w:hAnsi="Sylfaen"/>
          <w:sz w:val="24"/>
          <w:szCs w:val="24"/>
        </w:rPr>
        <w:t xml:space="preserve"> „</w:t>
      </w:r>
      <w:r w:rsidRPr="000C625B">
        <w:rPr>
          <w:rFonts w:ascii="Sylfaen" w:hAnsi="Sylfaen" w:cs="Sylfaen"/>
          <w:sz w:val="24"/>
          <w:szCs w:val="24"/>
        </w:rPr>
        <w:t>მედიის</w:t>
      </w:r>
      <w:r w:rsidRPr="000C625B">
        <w:rPr>
          <w:rFonts w:ascii="Sylfaen" w:hAnsi="Sylfaen"/>
          <w:sz w:val="24"/>
          <w:szCs w:val="24"/>
        </w:rPr>
        <w:t xml:space="preserve"> </w:t>
      </w:r>
      <w:r w:rsidRPr="000C625B">
        <w:rPr>
          <w:rFonts w:ascii="Sylfaen" w:hAnsi="Sylfaen" w:cs="Sylfaen"/>
          <w:sz w:val="24"/>
          <w:szCs w:val="24"/>
        </w:rPr>
        <w:t>განვითარების</w:t>
      </w:r>
      <w:r w:rsidRPr="000C625B">
        <w:rPr>
          <w:rFonts w:ascii="Sylfaen" w:hAnsi="Sylfaen"/>
          <w:sz w:val="24"/>
          <w:szCs w:val="24"/>
        </w:rPr>
        <w:t xml:space="preserve"> </w:t>
      </w:r>
      <w:r w:rsidRPr="000C625B">
        <w:rPr>
          <w:rFonts w:ascii="Sylfaen" w:hAnsi="Sylfaen" w:cs="Sylfaen"/>
          <w:sz w:val="24"/>
          <w:szCs w:val="24"/>
        </w:rPr>
        <w:t>ფონდი</w:t>
      </w:r>
      <w:r w:rsidRPr="000C625B">
        <w:rPr>
          <w:rFonts w:ascii="Sylfaen" w:hAnsi="Sylfaen"/>
          <w:sz w:val="24"/>
          <w:szCs w:val="24"/>
        </w:rPr>
        <w:t xml:space="preserve">“ </w:t>
      </w:r>
      <w:r w:rsidRPr="000C625B">
        <w:rPr>
          <w:rFonts w:ascii="Sylfaen" w:hAnsi="Sylfaen" w:cs="Sylfaen"/>
          <w:sz w:val="24"/>
          <w:szCs w:val="24"/>
        </w:rPr>
        <w:t>და</w:t>
      </w:r>
      <w:r w:rsidRPr="000C625B">
        <w:rPr>
          <w:rFonts w:ascii="Sylfaen" w:hAnsi="Sylfaen"/>
          <w:sz w:val="24"/>
          <w:szCs w:val="24"/>
        </w:rPr>
        <w:t xml:space="preserve"> </w:t>
      </w:r>
      <w:r w:rsidRPr="000C625B">
        <w:rPr>
          <w:rFonts w:ascii="Sylfaen" w:hAnsi="Sylfaen" w:cs="Sylfaen"/>
          <w:sz w:val="24"/>
          <w:szCs w:val="24"/>
        </w:rPr>
        <w:t>ა</w:t>
      </w:r>
      <w:r w:rsidRPr="000C625B">
        <w:rPr>
          <w:rFonts w:ascii="Sylfaen" w:hAnsi="Sylfaen"/>
          <w:sz w:val="24"/>
          <w:szCs w:val="24"/>
        </w:rPr>
        <w:t>(</w:t>
      </w:r>
      <w:r w:rsidRPr="000C625B">
        <w:rPr>
          <w:rFonts w:ascii="Sylfaen" w:hAnsi="Sylfaen" w:cs="Sylfaen"/>
          <w:sz w:val="24"/>
          <w:szCs w:val="24"/>
        </w:rPr>
        <w:t>ა</w:t>
      </w:r>
      <w:r w:rsidRPr="000C625B">
        <w:rPr>
          <w:rFonts w:ascii="Sylfaen" w:hAnsi="Sylfaen"/>
          <w:sz w:val="24"/>
          <w:szCs w:val="24"/>
        </w:rPr>
        <w:t>)</w:t>
      </w:r>
      <w:r w:rsidRPr="000C625B">
        <w:rPr>
          <w:rFonts w:ascii="Sylfaen" w:hAnsi="Sylfaen" w:cs="Sylfaen"/>
          <w:sz w:val="24"/>
          <w:szCs w:val="24"/>
        </w:rPr>
        <w:t>იპ</w:t>
      </w:r>
      <w:r w:rsidRPr="000C625B">
        <w:rPr>
          <w:rFonts w:ascii="Sylfaen" w:hAnsi="Sylfaen"/>
          <w:sz w:val="24"/>
          <w:szCs w:val="24"/>
        </w:rPr>
        <w:t xml:space="preserve"> „</w:t>
      </w:r>
      <w:r w:rsidRPr="000C625B">
        <w:rPr>
          <w:rFonts w:ascii="Sylfaen" w:hAnsi="Sylfaen" w:cs="Sylfaen"/>
          <w:sz w:val="24"/>
          <w:szCs w:val="24"/>
        </w:rPr>
        <w:t>ინფორმაციის</w:t>
      </w:r>
      <w:r w:rsidRPr="000C625B">
        <w:rPr>
          <w:rFonts w:ascii="Sylfaen" w:hAnsi="Sylfaen"/>
          <w:sz w:val="24"/>
          <w:szCs w:val="24"/>
        </w:rPr>
        <w:t xml:space="preserve"> </w:t>
      </w:r>
      <w:r w:rsidRPr="000C625B">
        <w:rPr>
          <w:rFonts w:ascii="Sylfaen" w:hAnsi="Sylfaen" w:cs="Sylfaen"/>
          <w:sz w:val="24"/>
          <w:szCs w:val="24"/>
        </w:rPr>
        <w:t>თავისუფლების</w:t>
      </w:r>
      <w:r w:rsidRPr="000C625B">
        <w:rPr>
          <w:rFonts w:ascii="Sylfaen" w:hAnsi="Sylfaen"/>
          <w:sz w:val="24"/>
          <w:szCs w:val="24"/>
        </w:rPr>
        <w:t xml:space="preserve"> </w:t>
      </w:r>
      <w:r w:rsidRPr="000C625B">
        <w:rPr>
          <w:rFonts w:ascii="Sylfaen" w:hAnsi="Sylfaen" w:cs="Sylfaen"/>
          <w:sz w:val="24"/>
          <w:szCs w:val="24"/>
        </w:rPr>
        <w:t>განვითარების</w:t>
      </w:r>
      <w:r w:rsidRPr="000C625B">
        <w:rPr>
          <w:rFonts w:ascii="Sylfaen" w:hAnsi="Sylfaen"/>
          <w:sz w:val="24"/>
          <w:szCs w:val="24"/>
        </w:rPr>
        <w:t xml:space="preserve"> </w:t>
      </w:r>
      <w:r w:rsidRPr="000C625B">
        <w:rPr>
          <w:rFonts w:ascii="Sylfaen" w:hAnsi="Sylfaen" w:cs="Sylfaen"/>
          <w:sz w:val="24"/>
          <w:szCs w:val="24"/>
        </w:rPr>
        <w:t>ინსტიტუტი</w:t>
      </w:r>
      <w:r w:rsidRPr="000C625B">
        <w:rPr>
          <w:rFonts w:ascii="Sylfaen" w:hAnsi="Sylfaen"/>
          <w:sz w:val="24"/>
          <w:szCs w:val="24"/>
        </w:rPr>
        <w:t xml:space="preserve">“ </w:t>
      </w:r>
      <w:r w:rsidRPr="000C625B">
        <w:rPr>
          <w:rFonts w:ascii="Sylfaen" w:hAnsi="Sylfaen" w:cs="Sylfaen"/>
          <w:sz w:val="24"/>
          <w:szCs w:val="24"/>
        </w:rPr>
        <w:t>საქართველოს</w:t>
      </w:r>
      <w:r w:rsidRPr="000C625B">
        <w:rPr>
          <w:rFonts w:ascii="Sylfaen" w:hAnsi="Sylfaen"/>
          <w:sz w:val="24"/>
          <w:szCs w:val="24"/>
        </w:rPr>
        <w:t xml:space="preserve"> </w:t>
      </w:r>
      <w:r w:rsidRPr="000C625B">
        <w:rPr>
          <w:rFonts w:ascii="Sylfaen" w:hAnsi="Sylfaen" w:cs="Sylfaen"/>
          <w:sz w:val="24"/>
          <w:szCs w:val="24"/>
        </w:rPr>
        <w:t>პარლამენტის</w:t>
      </w:r>
      <w:r w:rsidRPr="000C625B">
        <w:rPr>
          <w:rFonts w:ascii="Sylfaen" w:hAnsi="Sylfaen"/>
          <w:sz w:val="24"/>
          <w:szCs w:val="24"/>
        </w:rPr>
        <w:t xml:space="preserve"> </w:t>
      </w:r>
      <w:r w:rsidRPr="000C625B">
        <w:rPr>
          <w:rFonts w:ascii="Sylfaen" w:hAnsi="Sylfaen" w:cs="Sylfaen"/>
          <w:sz w:val="24"/>
          <w:szCs w:val="24"/>
        </w:rPr>
        <w:t>წინააღმდეგ</w:t>
      </w:r>
      <w:r w:rsidRPr="000C625B">
        <w:rPr>
          <w:rFonts w:ascii="Sylfaen" w:hAnsi="Sylfaen"/>
          <w:sz w:val="24"/>
          <w:szCs w:val="24"/>
        </w:rPr>
        <w:t>", II-49).</w:t>
      </w:r>
    </w:p>
    <w:p w14:paraId="03A1B016" w14:textId="5FAE738D" w:rsidR="00F27BA0" w:rsidRPr="000C625B" w:rsidRDefault="00F27BA0" w:rsidP="00D3726A">
      <w:pPr>
        <w:pStyle w:val="ListParagraph"/>
        <w:numPr>
          <w:ilvl w:val="0"/>
          <w:numId w:val="2"/>
        </w:numPr>
        <w:spacing w:after="0"/>
        <w:ind w:left="0" w:firstLine="284"/>
        <w:jc w:val="both"/>
        <w:rPr>
          <w:rFonts w:ascii="Sylfaen" w:hAnsi="Sylfaen" w:cs="Calibri"/>
          <w:sz w:val="24"/>
          <w:szCs w:val="24"/>
        </w:rPr>
      </w:pPr>
      <w:r w:rsidRPr="000C625B">
        <w:rPr>
          <w:rFonts w:ascii="Sylfaen" w:hAnsi="Sylfaen" w:cs="Sylfaen"/>
          <w:sz w:val="24"/>
          <w:szCs w:val="24"/>
        </w:rPr>
        <w:t>ამდენად</w:t>
      </w:r>
      <w:r w:rsidRPr="000C625B">
        <w:rPr>
          <w:rFonts w:ascii="Sylfaen" w:hAnsi="Sylfaen"/>
          <w:sz w:val="24"/>
          <w:szCs w:val="24"/>
        </w:rPr>
        <w:t xml:space="preserve">, </w:t>
      </w:r>
      <w:r w:rsidR="00D3726A" w:rsidRPr="000C625B">
        <w:rPr>
          <w:rFonts w:ascii="Sylfaen" w:hAnsi="Sylfaen"/>
          <w:sz w:val="24"/>
          <w:szCs w:val="24"/>
        </w:rPr>
        <w:t>„</w:t>
      </w:r>
      <w:r w:rsidRPr="000C625B">
        <w:rPr>
          <w:rFonts w:ascii="Sylfaen" w:hAnsi="Sylfaen" w:cs="Sylfaen"/>
          <w:sz w:val="24"/>
          <w:szCs w:val="24"/>
        </w:rPr>
        <w:t>საერთო</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w:t>
      </w:r>
      <w:r w:rsidRPr="000C625B">
        <w:rPr>
          <w:rFonts w:ascii="Sylfaen" w:hAnsi="Sylfaen" w:cs="Sylfaen"/>
          <w:sz w:val="24"/>
          <w:szCs w:val="24"/>
        </w:rPr>
        <w:t>მნიშვნელოვანი</w:t>
      </w:r>
      <w:r w:rsidRPr="000C625B">
        <w:rPr>
          <w:rFonts w:ascii="Sylfaen" w:hAnsi="Sylfaen"/>
          <w:sz w:val="24"/>
          <w:szCs w:val="24"/>
        </w:rPr>
        <w:t xml:space="preserve"> </w:t>
      </w:r>
      <w:r w:rsidRPr="000C625B">
        <w:rPr>
          <w:rFonts w:ascii="Sylfaen" w:hAnsi="Sylfaen" w:cs="Sylfaen"/>
          <w:sz w:val="24"/>
          <w:szCs w:val="24"/>
        </w:rPr>
        <w:t>როლი</w:t>
      </w:r>
      <w:r w:rsidRPr="000C625B">
        <w:rPr>
          <w:rFonts w:ascii="Sylfaen" w:hAnsi="Sylfaen"/>
          <w:sz w:val="24"/>
          <w:szCs w:val="24"/>
        </w:rPr>
        <w:t xml:space="preserve"> </w:t>
      </w:r>
      <w:r w:rsidRPr="000C625B">
        <w:rPr>
          <w:rFonts w:ascii="Sylfaen" w:hAnsi="Sylfaen" w:cs="Sylfaen"/>
          <w:sz w:val="24"/>
          <w:szCs w:val="24"/>
        </w:rPr>
        <w:t>აკისრია</w:t>
      </w:r>
      <w:r w:rsidRPr="000C625B">
        <w:rPr>
          <w:rFonts w:ascii="Sylfaen" w:hAnsi="Sylfaen"/>
          <w:sz w:val="24"/>
          <w:szCs w:val="24"/>
        </w:rPr>
        <w:t xml:space="preserve"> </w:t>
      </w:r>
      <w:r w:rsidRPr="000C625B">
        <w:rPr>
          <w:rFonts w:ascii="Sylfaen" w:hAnsi="Sylfaen" w:cs="Sylfaen"/>
          <w:sz w:val="24"/>
          <w:szCs w:val="24"/>
        </w:rPr>
        <w:t>პასუხისმგებლობის</w:t>
      </w:r>
      <w:r w:rsidRPr="000C625B">
        <w:rPr>
          <w:rFonts w:ascii="Sylfaen" w:hAnsi="Sylfaen"/>
          <w:sz w:val="24"/>
          <w:szCs w:val="24"/>
        </w:rPr>
        <w:t xml:space="preserve"> </w:t>
      </w:r>
      <w:r w:rsidRPr="000C625B">
        <w:rPr>
          <w:rFonts w:ascii="Sylfaen" w:hAnsi="Sylfaen" w:cs="Sylfaen"/>
          <w:sz w:val="24"/>
          <w:szCs w:val="24"/>
        </w:rPr>
        <w:t>დამდგენი</w:t>
      </w:r>
      <w:r w:rsidRPr="000C625B">
        <w:rPr>
          <w:rFonts w:ascii="Sylfaen" w:hAnsi="Sylfaen"/>
          <w:sz w:val="24"/>
          <w:szCs w:val="24"/>
        </w:rPr>
        <w:t xml:space="preserve"> </w:t>
      </w:r>
      <w:r w:rsidRPr="000C625B">
        <w:rPr>
          <w:rFonts w:ascii="Sylfaen" w:hAnsi="Sylfaen" w:cs="Sylfaen"/>
          <w:sz w:val="24"/>
          <w:szCs w:val="24"/>
        </w:rPr>
        <w:t>ზოგადი</w:t>
      </w:r>
      <w:r w:rsidRPr="000C625B">
        <w:rPr>
          <w:rFonts w:ascii="Sylfaen" w:hAnsi="Sylfaen"/>
          <w:sz w:val="24"/>
          <w:szCs w:val="24"/>
        </w:rPr>
        <w:t xml:space="preserve"> </w:t>
      </w:r>
      <w:r w:rsidRPr="000C625B">
        <w:rPr>
          <w:rFonts w:ascii="Sylfaen" w:hAnsi="Sylfaen" w:cs="Sylfaen"/>
          <w:sz w:val="24"/>
          <w:szCs w:val="24"/>
        </w:rPr>
        <w:t>ნორმების</w:t>
      </w:r>
      <w:r w:rsidRPr="000C625B">
        <w:rPr>
          <w:rFonts w:ascii="Sylfaen" w:hAnsi="Sylfaen"/>
          <w:sz w:val="24"/>
          <w:szCs w:val="24"/>
        </w:rPr>
        <w:t xml:space="preserve"> </w:t>
      </w:r>
      <w:r w:rsidRPr="000C625B">
        <w:rPr>
          <w:rFonts w:ascii="Sylfaen" w:hAnsi="Sylfaen" w:cs="Sylfaen"/>
          <w:sz w:val="24"/>
          <w:szCs w:val="24"/>
        </w:rPr>
        <w:t>შინაარსის</w:t>
      </w:r>
      <w:r w:rsidRPr="000C625B">
        <w:rPr>
          <w:rFonts w:ascii="Sylfaen" w:hAnsi="Sylfaen"/>
          <w:sz w:val="24"/>
          <w:szCs w:val="24"/>
        </w:rPr>
        <w:t xml:space="preserve"> </w:t>
      </w:r>
      <w:r w:rsidRPr="000C625B">
        <w:rPr>
          <w:rFonts w:ascii="Sylfaen" w:hAnsi="Sylfaen" w:cs="Sylfaen"/>
          <w:sz w:val="24"/>
          <w:szCs w:val="24"/>
        </w:rPr>
        <w:t>აღქმის</w:t>
      </w:r>
      <w:r w:rsidRPr="000C625B">
        <w:rPr>
          <w:rFonts w:ascii="Sylfaen" w:hAnsi="Sylfaen"/>
          <w:sz w:val="24"/>
          <w:szCs w:val="24"/>
        </w:rPr>
        <w:t xml:space="preserve"> </w:t>
      </w:r>
      <w:r w:rsidRPr="000C625B">
        <w:rPr>
          <w:rFonts w:ascii="Sylfaen" w:hAnsi="Sylfaen" w:cs="Sylfaen"/>
          <w:sz w:val="24"/>
          <w:szCs w:val="24"/>
        </w:rPr>
        <w:t>გამარტივებისა</w:t>
      </w:r>
      <w:r w:rsidRPr="000C625B">
        <w:rPr>
          <w:rFonts w:ascii="Sylfaen" w:hAnsi="Sylfaen"/>
          <w:sz w:val="24"/>
          <w:szCs w:val="24"/>
        </w:rPr>
        <w:t xml:space="preserve"> </w:t>
      </w:r>
      <w:r w:rsidRPr="000C625B">
        <w:rPr>
          <w:rFonts w:ascii="Sylfaen" w:hAnsi="Sylfaen" w:cs="Sylfaen"/>
          <w:sz w:val="24"/>
          <w:szCs w:val="24"/>
        </w:rPr>
        <w:lastRenderedPageBreak/>
        <w:t>და</w:t>
      </w:r>
      <w:r w:rsidRPr="000C625B">
        <w:rPr>
          <w:rFonts w:ascii="Sylfaen" w:hAnsi="Sylfaen"/>
          <w:sz w:val="24"/>
          <w:szCs w:val="24"/>
        </w:rPr>
        <w:t xml:space="preserve"> </w:t>
      </w:r>
      <w:r w:rsidRPr="000C625B">
        <w:rPr>
          <w:rFonts w:ascii="Sylfaen" w:hAnsi="Sylfaen" w:cs="Sylfaen"/>
          <w:sz w:val="24"/>
          <w:szCs w:val="24"/>
        </w:rPr>
        <w:t>ბუნდოვანების</w:t>
      </w:r>
      <w:r w:rsidRPr="000C625B">
        <w:rPr>
          <w:rFonts w:ascii="Sylfaen" w:hAnsi="Sylfaen"/>
          <w:sz w:val="24"/>
          <w:szCs w:val="24"/>
        </w:rPr>
        <w:t xml:space="preserve"> </w:t>
      </w:r>
      <w:r w:rsidRPr="000C625B">
        <w:rPr>
          <w:rFonts w:ascii="Sylfaen" w:hAnsi="Sylfaen" w:cs="Sylfaen"/>
          <w:sz w:val="24"/>
          <w:szCs w:val="24"/>
        </w:rPr>
        <w:t>აღმოფხვრის</w:t>
      </w:r>
      <w:r w:rsidRPr="000C625B">
        <w:rPr>
          <w:rFonts w:ascii="Sylfaen" w:hAnsi="Sylfaen"/>
          <w:sz w:val="24"/>
          <w:szCs w:val="24"/>
        </w:rPr>
        <w:t xml:space="preserve"> </w:t>
      </w:r>
      <w:r w:rsidRPr="000C625B">
        <w:rPr>
          <w:rFonts w:ascii="Sylfaen" w:hAnsi="Sylfaen" w:cs="Sylfaen"/>
          <w:sz w:val="24"/>
          <w:szCs w:val="24"/>
        </w:rPr>
        <w:t>პროცესში</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w:t>
      </w:r>
      <w:r w:rsidRPr="000C625B">
        <w:rPr>
          <w:rFonts w:ascii="Sylfaen" w:hAnsi="Sylfaen" w:cs="Sylfaen"/>
          <w:sz w:val="24"/>
          <w:szCs w:val="24"/>
        </w:rPr>
        <w:t>ამ</w:t>
      </w:r>
      <w:r w:rsidRPr="000C625B">
        <w:rPr>
          <w:rFonts w:ascii="Sylfaen" w:hAnsi="Sylfaen"/>
          <w:sz w:val="24"/>
          <w:szCs w:val="24"/>
        </w:rPr>
        <w:t xml:space="preserve"> </w:t>
      </w:r>
      <w:r w:rsidRPr="000C625B">
        <w:rPr>
          <w:rFonts w:ascii="Sylfaen" w:hAnsi="Sylfaen" w:cs="Sylfaen"/>
          <w:sz w:val="24"/>
          <w:szCs w:val="24"/>
        </w:rPr>
        <w:t>უმნიშვნელოვანესი</w:t>
      </w:r>
      <w:r w:rsidRPr="000C625B">
        <w:rPr>
          <w:rFonts w:ascii="Sylfaen" w:hAnsi="Sylfaen"/>
          <w:sz w:val="24"/>
          <w:szCs w:val="24"/>
        </w:rPr>
        <w:t xml:space="preserve"> </w:t>
      </w:r>
      <w:r w:rsidRPr="000C625B">
        <w:rPr>
          <w:rFonts w:ascii="Sylfaen" w:hAnsi="Sylfaen" w:cs="Sylfaen"/>
          <w:sz w:val="24"/>
          <w:szCs w:val="24"/>
        </w:rPr>
        <w:t>ფუნქციის</w:t>
      </w:r>
      <w:r w:rsidRPr="000C625B">
        <w:rPr>
          <w:rFonts w:ascii="Sylfaen" w:hAnsi="Sylfaen"/>
          <w:sz w:val="24"/>
          <w:szCs w:val="24"/>
        </w:rPr>
        <w:t xml:space="preserve"> </w:t>
      </w:r>
      <w:r w:rsidRPr="000C625B">
        <w:rPr>
          <w:rFonts w:ascii="Sylfaen" w:hAnsi="Sylfaen" w:cs="Sylfaen"/>
          <w:sz w:val="24"/>
          <w:szCs w:val="24"/>
        </w:rPr>
        <w:t>გამოვლინებაა</w:t>
      </w:r>
      <w:r w:rsidRPr="000C625B">
        <w:rPr>
          <w:rFonts w:ascii="Sylfaen" w:hAnsi="Sylfaen"/>
          <w:sz w:val="24"/>
          <w:szCs w:val="24"/>
        </w:rPr>
        <w:t xml:space="preserve"> </w:t>
      </w:r>
      <w:r w:rsidRPr="000C625B">
        <w:rPr>
          <w:rFonts w:ascii="Sylfaen" w:hAnsi="Sylfaen" w:cs="Sylfaen"/>
          <w:sz w:val="24"/>
          <w:szCs w:val="24"/>
        </w:rPr>
        <w:t>ის</w:t>
      </w:r>
      <w:r w:rsidRPr="000C625B">
        <w:rPr>
          <w:rFonts w:ascii="Sylfaen" w:hAnsi="Sylfaen"/>
          <w:sz w:val="24"/>
          <w:szCs w:val="24"/>
        </w:rPr>
        <w:t xml:space="preserve"> </w:t>
      </w:r>
      <w:r w:rsidRPr="000C625B">
        <w:rPr>
          <w:rFonts w:ascii="Sylfaen" w:hAnsi="Sylfaen" w:cs="Sylfaen"/>
          <w:sz w:val="24"/>
          <w:szCs w:val="24"/>
        </w:rPr>
        <w:t>ფაქტიც</w:t>
      </w:r>
      <w:r w:rsidRPr="000C625B">
        <w:rPr>
          <w:rFonts w:ascii="Sylfaen" w:hAnsi="Sylfaen"/>
          <w:sz w:val="24"/>
          <w:szCs w:val="24"/>
        </w:rPr>
        <w:t xml:space="preserve">, </w:t>
      </w:r>
      <w:r w:rsidRPr="000C625B">
        <w:rPr>
          <w:rFonts w:ascii="Sylfaen" w:hAnsi="Sylfaen" w:cs="Sylfaen"/>
          <w:sz w:val="24"/>
          <w:szCs w:val="24"/>
        </w:rPr>
        <w:t>რომ</w:t>
      </w:r>
      <w:r w:rsidRPr="000C625B">
        <w:rPr>
          <w:rFonts w:ascii="Sylfaen" w:hAnsi="Sylfaen"/>
          <w:sz w:val="24"/>
          <w:szCs w:val="24"/>
        </w:rPr>
        <w:t xml:space="preserve"> </w:t>
      </w:r>
      <w:r w:rsidRPr="000C625B">
        <w:rPr>
          <w:rFonts w:ascii="Sylfaen" w:hAnsi="Sylfaen" w:cs="Sylfaen"/>
          <w:sz w:val="24"/>
          <w:szCs w:val="24"/>
        </w:rPr>
        <w:t>ამა</w:t>
      </w:r>
      <w:r w:rsidRPr="000C625B">
        <w:rPr>
          <w:rFonts w:ascii="Sylfaen" w:hAnsi="Sylfaen"/>
          <w:sz w:val="24"/>
          <w:szCs w:val="24"/>
        </w:rPr>
        <w:t xml:space="preserve"> </w:t>
      </w:r>
      <w:r w:rsidRPr="000C625B">
        <w:rPr>
          <w:rFonts w:ascii="Sylfaen" w:hAnsi="Sylfaen" w:cs="Sylfaen"/>
          <w:sz w:val="24"/>
          <w:szCs w:val="24"/>
        </w:rPr>
        <w:t>თუ</w:t>
      </w:r>
      <w:r w:rsidRPr="000C625B">
        <w:rPr>
          <w:rFonts w:ascii="Sylfaen" w:hAnsi="Sylfaen"/>
          <w:sz w:val="24"/>
          <w:szCs w:val="24"/>
        </w:rPr>
        <w:t xml:space="preserve"> </w:t>
      </w:r>
      <w:r w:rsidRPr="000C625B">
        <w:rPr>
          <w:rFonts w:ascii="Sylfaen" w:hAnsi="Sylfaen" w:cs="Sylfaen"/>
          <w:sz w:val="24"/>
          <w:szCs w:val="24"/>
        </w:rPr>
        <w:t>იმ</w:t>
      </w:r>
      <w:r w:rsidRPr="000C625B">
        <w:rPr>
          <w:rFonts w:ascii="Sylfaen" w:hAnsi="Sylfaen"/>
          <w:sz w:val="24"/>
          <w:szCs w:val="24"/>
        </w:rPr>
        <w:t xml:space="preserve"> </w:t>
      </w:r>
      <w:r w:rsidRPr="000C625B">
        <w:rPr>
          <w:rFonts w:ascii="Sylfaen" w:hAnsi="Sylfaen" w:cs="Sylfaen"/>
          <w:sz w:val="24"/>
          <w:szCs w:val="24"/>
        </w:rPr>
        <w:t>ნორმის</w:t>
      </w:r>
      <w:r w:rsidRPr="000C625B">
        <w:rPr>
          <w:rFonts w:ascii="Sylfaen" w:hAnsi="Sylfaen"/>
          <w:sz w:val="24"/>
          <w:szCs w:val="24"/>
        </w:rPr>
        <w:t xml:space="preserve"> </w:t>
      </w:r>
      <w:r w:rsidRPr="000C625B">
        <w:rPr>
          <w:rFonts w:ascii="Sylfaen" w:hAnsi="Sylfaen" w:cs="Sylfaen"/>
          <w:sz w:val="24"/>
          <w:szCs w:val="24"/>
        </w:rPr>
        <w:t>შინაარსთან</w:t>
      </w:r>
      <w:r w:rsidRPr="000C625B">
        <w:rPr>
          <w:rFonts w:ascii="Sylfaen" w:hAnsi="Sylfaen"/>
          <w:sz w:val="24"/>
          <w:szCs w:val="24"/>
        </w:rPr>
        <w:t xml:space="preserve"> </w:t>
      </w:r>
      <w:r w:rsidRPr="000C625B">
        <w:rPr>
          <w:rFonts w:ascii="Sylfaen" w:hAnsi="Sylfaen" w:cs="Sylfaen"/>
          <w:sz w:val="24"/>
          <w:szCs w:val="24"/>
        </w:rPr>
        <w:t>დაკავშირებით</w:t>
      </w:r>
      <w:r w:rsidRPr="000C625B">
        <w:rPr>
          <w:rFonts w:ascii="Sylfaen" w:hAnsi="Sylfaen"/>
          <w:sz w:val="24"/>
          <w:szCs w:val="24"/>
        </w:rPr>
        <w:t xml:space="preserve">, </w:t>
      </w:r>
      <w:r w:rsidRPr="000C625B">
        <w:rPr>
          <w:rFonts w:ascii="Sylfaen" w:hAnsi="Sylfaen" w:cs="Sylfaen"/>
          <w:sz w:val="24"/>
          <w:szCs w:val="24"/>
        </w:rPr>
        <w:t>სასამართლოს</w:t>
      </w:r>
      <w:r w:rsidRPr="000C625B">
        <w:rPr>
          <w:rFonts w:ascii="Sylfaen" w:hAnsi="Sylfaen"/>
          <w:sz w:val="24"/>
          <w:szCs w:val="24"/>
        </w:rPr>
        <w:t xml:space="preserve"> </w:t>
      </w:r>
      <w:r w:rsidRPr="000C625B">
        <w:rPr>
          <w:rFonts w:ascii="Sylfaen" w:hAnsi="Sylfaen" w:cs="Sylfaen"/>
          <w:sz w:val="24"/>
          <w:szCs w:val="24"/>
        </w:rPr>
        <w:t>ერთგვაროვანი</w:t>
      </w:r>
      <w:r w:rsidRPr="000C625B">
        <w:rPr>
          <w:rFonts w:ascii="Sylfaen" w:hAnsi="Sylfaen"/>
          <w:sz w:val="24"/>
          <w:szCs w:val="24"/>
        </w:rPr>
        <w:t xml:space="preserve">, </w:t>
      </w:r>
      <w:r w:rsidRPr="000C625B">
        <w:rPr>
          <w:rFonts w:ascii="Sylfaen" w:hAnsi="Sylfaen" w:cs="Sylfaen"/>
          <w:sz w:val="24"/>
          <w:szCs w:val="24"/>
        </w:rPr>
        <w:t>დროის</w:t>
      </w:r>
      <w:r w:rsidRPr="000C625B">
        <w:rPr>
          <w:rFonts w:ascii="Sylfaen" w:hAnsi="Sylfaen"/>
          <w:sz w:val="24"/>
          <w:szCs w:val="24"/>
        </w:rPr>
        <w:t xml:space="preserve"> </w:t>
      </w:r>
      <w:r w:rsidRPr="000C625B">
        <w:rPr>
          <w:rFonts w:ascii="Sylfaen" w:hAnsi="Sylfaen" w:cs="Sylfaen"/>
          <w:sz w:val="24"/>
          <w:szCs w:val="24"/>
        </w:rPr>
        <w:t>მნიშვნელოვან</w:t>
      </w:r>
      <w:r w:rsidRPr="000C625B">
        <w:rPr>
          <w:rFonts w:ascii="Sylfaen" w:hAnsi="Sylfaen"/>
          <w:sz w:val="24"/>
          <w:szCs w:val="24"/>
        </w:rPr>
        <w:t xml:space="preserve"> </w:t>
      </w:r>
      <w:r w:rsidRPr="000C625B">
        <w:rPr>
          <w:rFonts w:ascii="Sylfaen" w:hAnsi="Sylfaen" w:cs="Sylfaen"/>
          <w:sz w:val="24"/>
          <w:szCs w:val="24"/>
        </w:rPr>
        <w:t>პერიოდში</w:t>
      </w:r>
      <w:r w:rsidRPr="000C625B">
        <w:rPr>
          <w:rFonts w:ascii="Sylfaen" w:hAnsi="Sylfaen"/>
          <w:sz w:val="24"/>
          <w:szCs w:val="24"/>
        </w:rPr>
        <w:t xml:space="preserve"> </w:t>
      </w:r>
      <w:r w:rsidRPr="000C625B">
        <w:rPr>
          <w:rFonts w:ascii="Sylfaen" w:hAnsi="Sylfaen" w:cs="Sylfaen"/>
          <w:sz w:val="24"/>
          <w:szCs w:val="24"/>
        </w:rPr>
        <w:t>ჩამოყალიბებული</w:t>
      </w:r>
      <w:r w:rsidRPr="000C625B">
        <w:rPr>
          <w:rFonts w:ascii="Sylfaen" w:hAnsi="Sylfaen"/>
          <w:sz w:val="24"/>
          <w:szCs w:val="24"/>
        </w:rPr>
        <w:t xml:space="preserve"> </w:t>
      </w:r>
      <w:r w:rsidRPr="000C625B">
        <w:rPr>
          <w:rFonts w:ascii="Sylfaen" w:hAnsi="Sylfaen" w:cs="Sylfaen"/>
          <w:sz w:val="24"/>
          <w:szCs w:val="24"/>
        </w:rPr>
        <w:t>პრაქტიკის</w:t>
      </w:r>
      <w:r w:rsidRPr="000C625B">
        <w:rPr>
          <w:rFonts w:ascii="Sylfaen" w:hAnsi="Sylfaen"/>
          <w:sz w:val="24"/>
          <w:szCs w:val="24"/>
        </w:rPr>
        <w:t xml:space="preserve"> </w:t>
      </w:r>
      <w:r w:rsidRPr="000C625B">
        <w:rPr>
          <w:rFonts w:ascii="Sylfaen" w:hAnsi="Sylfaen" w:cs="Sylfaen"/>
          <w:sz w:val="24"/>
          <w:szCs w:val="24"/>
        </w:rPr>
        <w:t>არსებობა</w:t>
      </w:r>
      <w:r w:rsidRPr="000C625B">
        <w:rPr>
          <w:rFonts w:ascii="Sylfaen" w:hAnsi="Sylfaen"/>
          <w:sz w:val="24"/>
          <w:szCs w:val="24"/>
        </w:rPr>
        <w:t xml:space="preserve">, </w:t>
      </w:r>
      <w:r w:rsidRPr="000C625B">
        <w:rPr>
          <w:rFonts w:ascii="Sylfaen" w:hAnsi="Sylfaen" w:cs="Sylfaen"/>
          <w:sz w:val="24"/>
          <w:szCs w:val="24"/>
        </w:rPr>
        <w:t>ამ</w:t>
      </w:r>
      <w:r w:rsidRPr="000C625B">
        <w:rPr>
          <w:rFonts w:ascii="Sylfaen" w:hAnsi="Sylfaen"/>
          <w:sz w:val="24"/>
          <w:szCs w:val="24"/>
        </w:rPr>
        <w:t xml:space="preserve"> </w:t>
      </w:r>
      <w:r w:rsidRPr="000C625B">
        <w:rPr>
          <w:rFonts w:ascii="Sylfaen" w:hAnsi="Sylfaen" w:cs="Sylfaen"/>
          <w:sz w:val="24"/>
          <w:szCs w:val="24"/>
        </w:rPr>
        <w:t>ნორმიდან</w:t>
      </w:r>
      <w:r w:rsidRPr="000C625B">
        <w:rPr>
          <w:rFonts w:ascii="Sylfaen" w:hAnsi="Sylfaen"/>
          <w:sz w:val="24"/>
          <w:szCs w:val="24"/>
        </w:rPr>
        <w:t xml:space="preserve"> </w:t>
      </w:r>
      <w:r w:rsidRPr="000C625B">
        <w:rPr>
          <w:rFonts w:ascii="Sylfaen" w:hAnsi="Sylfaen" w:cs="Sylfaen"/>
          <w:sz w:val="24"/>
          <w:szCs w:val="24"/>
        </w:rPr>
        <w:t>მომდინარე</w:t>
      </w:r>
      <w:r w:rsidRPr="000C625B">
        <w:rPr>
          <w:rFonts w:ascii="Sylfaen" w:hAnsi="Sylfaen"/>
          <w:sz w:val="24"/>
          <w:szCs w:val="24"/>
        </w:rPr>
        <w:t xml:space="preserve"> </w:t>
      </w:r>
      <w:r w:rsidRPr="000C625B">
        <w:rPr>
          <w:rFonts w:ascii="Sylfaen" w:hAnsi="Sylfaen" w:cs="Sylfaen"/>
          <w:sz w:val="24"/>
          <w:szCs w:val="24"/>
        </w:rPr>
        <w:t>პასუხისმგებლობის</w:t>
      </w:r>
      <w:r w:rsidRPr="000C625B">
        <w:rPr>
          <w:rFonts w:ascii="Sylfaen" w:hAnsi="Sylfaen"/>
          <w:sz w:val="24"/>
          <w:szCs w:val="24"/>
        </w:rPr>
        <w:t xml:space="preserve"> </w:t>
      </w:r>
      <w:proofErr w:type="spellStart"/>
      <w:r w:rsidRPr="000C625B">
        <w:rPr>
          <w:rFonts w:ascii="Sylfaen" w:hAnsi="Sylfaen" w:cs="Sylfaen"/>
          <w:sz w:val="24"/>
          <w:szCs w:val="24"/>
        </w:rPr>
        <w:t>განჭვრეტადობის</w:t>
      </w:r>
      <w:proofErr w:type="spellEnd"/>
      <w:r w:rsidRPr="000C625B">
        <w:rPr>
          <w:rFonts w:ascii="Sylfaen" w:hAnsi="Sylfaen"/>
          <w:sz w:val="24"/>
          <w:szCs w:val="24"/>
        </w:rPr>
        <w:t xml:space="preserve"> </w:t>
      </w:r>
      <w:r w:rsidRPr="000C625B">
        <w:rPr>
          <w:rFonts w:ascii="Sylfaen" w:hAnsi="Sylfaen" w:cs="Sylfaen"/>
          <w:sz w:val="24"/>
          <w:szCs w:val="24"/>
        </w:rPr>
        <w:t>საუკეთესო</w:t>
      </w:r>
      <w:r w:rsidRPr="000C625B">
        <w:rPr>
          <w:rFonts w:ascii="Sylfaen" w:hAnsi="Sylfaen"/>
          <w:sz w:val="24"/>
          <w:szCs w:val="24"/>
        </w:rPr>
        <w:t xml:space="preserve"> </w:t>
      </w:r>
      <w:r w:rsidRPr="000C625B">
        <w:rPr>
          <w:rFonts w:ascii="Sylfaen" w:hAnsi="Sylfaen" w:cs="Sylfaen"/>
          <w:sz w:val="24"/>
          <w:szCs w:val="24"/>
        </w:rPr>
        <w:t>ინდიკატორია</w:t>
      </w:r>
      <w:r w:rsidRPr="000C625B">
        <w:rPr>
          <w:rFonts w:ascii="Sylfaen" w:hAnsi="Sylfaen"/>
          <w:sz w:val="24"/>
          <w:szCs w:val="24"/>
        </w:rPr>
        <w:t xml:space="preserve">. </w:t>
      </w:r>
      <w:r w:rsidRPr="000C625B">
        <w:rPr>
          <w:rFonts w:ascii="Sylfaen" w:hAnsi="Sylfaen" w:cs="Sylfaen"/>
          <w:sz w:val="24"/>
          <w:szCs w:val="24"/>
        </w:rPr>
        <w:t>იმ</w:t>
      </w:r>
      <w:r w:rsidRPr="000C625B">
        <w:rPr>
          <w:rFonts w:ascii="Sylfaen" w:hAnsi="Sylfaen"/>
          <w:sz w:val="24"/>
          <w:szCs w:val="24"/>
        </w:rPr>
        <w:t xml:space="preserve"> </w:t>
      </w:r>
      <w:r w:rsidRPr="000C625B">
        <w:rPr>
          <w:rFonts w:ascii="Sylfaen" w:hAnsi="Sylfaen" w:cs="Sylfaen"/>
          <w:sz w:val="24"/>
          <w:szCs w:val="24"/>
        </w:rPr>
        <w:t>პირობებში</w:t>
      </w:r>
      <w:r w:rsidRPr="000C625B">
        <w:rPr>
          <w:rFonts w:ascii="Sylfaen" w:hAnsi="Sylfaen"/>
          <w:sz w:val="24"/>
          <w:szCs w:val="24"/>
        </w:rPr>
        <w:t xml:space="preserve">, </w:t>
      </w:r>
      <w:r w:rsidRPr="000C625B">
        <w:rPr>
          <w:rFonts w:ascii="Sylfaen" w:hAnsi="Sylfaen" w:cs="Sylfaen"/>
          <w:sz w:val="24"/>
          <w:szCs w:val="24"/>
        </w:rPr>
        <w:t>როდესაც</w:t>
      </w:r>
      <w:r w:rsidRPr="000C625B">
        <w:rPr>
          <w:rFonts w:ascii="Sylfaen" w:hAnsi="Sylfaen"/>
          <w:sz w:val="24"/>
          <w:szCs w:val="24"/>
        </w:rPr>
        <w:t xml:space="preserve"> </w:t>
      </w:r>
      <w:r w:rsidRPr="000C625B">
        <w:rPr>
          <w:rFonts w:ascii="Sylfaen" w:hAnsi="Sylfaen" w:cs="Sylfaen"/>
          <w:sz w:val="24"/>
          <w:szCs w:val="24"/>
        </w:rPr>
        <w:t>ქმედების</w:t>
      </w:r>
      <w:r w:rsidRPr="000C625B">
        <w:rPr>
          <w:rFonts w:ascii="Sylfaen" w:hAnsi="Sylfaen"/>
          <w:sz w:val="24"/>
          <w:szCs w:val="24"/>
        </w:rPr>
        <w:t xml:space="preserve"> </w:t>
      </w:r>
      <w:r w:rsidRPr="000C625B">
        <w:rPr>
          <w:rFonts w:ascii="Sylfaen" w:hAnsi="Sylfaen" w:cs="Sylfaen"/>
          <w:sz w:val="24"/>
          <w:szCs w:val="24"/>
        </w:rPr>
        <w:t>ჩადენამდე</w:t>
      </w:r>
      <w:r w:rsidRPr="000C625B">
        <w:rPr>
          <w:rFonts w:ascii="Sylfaen" w:hAnsi="Sylfaen"/>
          <w:sz w:val="24"/>
          <w:szCs w:val="24"/>
        </w:rPr>
        <w:t xml:space="preserve"> </w:t>
      </w:r>
      <w:r w:rsidRPr="000C625B">
        <w:rPr>
          <w:rFonts w:ascii="Sylfaen" w:hAnsi="Sylfaen" w:cs="Sylfaen"/>
          <w:sz w:val="24"/>
          <w:szCs w:val="24"/>
        </w:rPr>
        <w:t>პასუხისმგებლობის</w:t>
      </w:r>
      <w:r w:rsidRPr="000C625B">
        <w:rPr>
          <w:rFonts w:ascii="Sylfaen" w:hAnsi="Sylfaen"/>
          <w:sz w:val="24"/>
          <w:szCs w:val="24"/>
        </w:rPr>
        <w:t xml:space="preserve"> </w:t>
      </w:r>
      <w:r w:rsidRPr="000C625B">
        <w:rPr>
          <w:rFonts w:ascii="Sylfaen" w:hAnsi="Sylfaen" w:cs="Sylfaen"/>
          <w:sz w:val="24"/>
          <w:szCs w:val="24"/>
        </w:rPr>
        <w:t>დამდგენი</w:t>
      </w:r>
      <w:r w:rsidRPr="000C625B">
        <w:rPr>
          <w:rFonts w:ascii="Sylfaen" w:hAnsi="Sylfaen"/>
          <w:sz w:val="24"/>
          <w:szCs w:val="24"/>
        </w:rPr>
        <w:t xml:space="preserve"> </w:t>
      </w:r>
      <w:r w:rsidRPr="000C625B">
        <w:rPr>
          <w:rFonts w:ascii="Sylfaen" w:hAnsi="Sylfaen" w:cs="Sylfaen"/>
          <w:sz w:val="24"/>
          <w:szCs w:val="24"/>
        </w:rPr>
        <w:t>ნორმის</w:t>
      </w:r>
      <w:r w:rsidRPr="000C625B">
        <w:rPr>
          <w:rFonts w:ascii="Sylfaen" w:hAnsi="Sylfaen"/>
          <w:sz w:val="24"/>
          <w:szCs w:val="24"/>
        </w:rPr>
        <w:t xml:space="preserve"> </w:t>
      </w:r>
      <w:r w:rsidRPr="000C625B">
        <w:rPr>
          <w:rFonts w:ascii="Sylfaen" w:hAnsi="Sylfaen" w:cs="Sylfaen"/>
          <w:sz w:val="24"/>
          <w:szCs w:val="24"/>
        </w:rPr>
        <w:t>ამა</w:t>
      </w:r>
      <w:r w:rsidRPr="000C625B">
        <w:rPr>
          <w:rFonts w:ascii="Sylfaen" w:hAnsi="Sylfaen"/>
          <w:sz w:val="24"/>
          <w:szCs w:val="24"/>
        </w:rPr>
        <w:t xml:space="preserve"> </w:t>
      </w:r>
      <w:r w:rsidRPr="000C625B">
        <w:rPr>
          <w:rFonts w:ascii="Sylfaen" w:hAnsi="Sylfaen" w:cs="Sylfaen"/>
          <w:sz w:val="24"/>
          <w:szCs w:val="24"/>
        </w:rPr>
        <w:t>თუ</w:t>
      </w:r>
      <w:r w:rsidRPr="000C625B">
        <w:rPr>
          <w:rFonts w:ascii="Sylfaen" w:hAnsi="Sylfaen"/>
          <w:sz w:val="24"/>
          <w:szCs w:val="24"/>
        </w:rPr>
        <w:t xml:space="preserve"> </w:t>
      </w:r>
      <w:r w:rsidRPr="000C625B">
        <w:rPr>
          <w:rFonts w:ascii="Sylfaen" w:hAnsi="Sylfaen" w:cs="Sylfaen"/>
          <w:sz w:val="24"/>
          <w:szCs w:val="24"/>
        </w:rPr>
        <w:t>იმ</w:t>
      </w:r>
      <w:r w:rsidRPr="000C625B">
        <w:rPr>
          <w:rFonts w:ascii="Sylfaen" w:hAnsi="Sylfaen"/>
          <w:sz w:val="24"/>
          <w:szCs w:val="24"/>
        </w:rPr>
        <w:t xml:space="preserve"> </w:t>
      </w:r>
      <w:r w:rsidRPr="000C625B">
        <w:rPr>
          <w:rFonts w:ascii="Sylfaen" w:hAnsi="Sylfaen" w:cs="Sylfaen"/>
          <w:sz w:val="24"/>
          <w:szCs w:val="24"/>
        </w:rPr>
        <w:t>შინაარსით</w:t>
      </w:r>
      <w:r w:rsidRPr="000C625B">
        <w:rPr>
          <w:rFonts w:ascii="Sylfaen" w:hAnsi="Sylfaen"/>
          <w:sz w:val="24"/>
          <w:szCs w:val="24"/>
        </w:rPr>
        <w:t xml:space="preserve"> </w:t>
      </w:r>
      <w:r w:rsidRPr="000C625B">
        <w:rPr>
          <w:rFonts w:ascii="Sylfaen" w:hAnsi="Sylfaen" w:cs="Sylfaen"/>
          <w:sz w:val="24"/>
          <w:szCs w:val="24"/>
        </w:rPr>
        <w:t>გამოყენების</w:t>
      </w:r>
      <w:r w:rsidRPr="000C625B">
        <w:rPr>
          <w:rFonts w:ascii="Sylfaen" w:hAnsi="Sylfaen"/>
          <w:sz w:val="24"/>
          <w:szCs w:val="24"/>
        </w:rPr>
        <w:t xml:space="preserve"> </w:t>
      </w:r>
      <w:r w:rsidRPr="000C625B">
        <w:rPr>
          <w:rFonts w:ascii="Sylfaen" w:hAnsi="Sylfaen" w:cs="Sylfaen"/>
          <w:sz w:val="24"/>
          <w:szCs w:val="24"/>
        </w:rPr>
        <w:t>ერთგვაროვანი</w:t>
      </w:r>
      <w:r w:rsidRPr="000C625B">
        <w:rPr>
          <w:rFonts w:ascii="Sylfaen" w:hAnsi="Sylfaen"/>
          <w:sz w:val="24"/>
          <w:szCs w:val="24"/>
        </w:rPr>
        <w:t xml:space="preserve"> </w:t>
      </w:r>
      <w:r w:rsidRPr="000C625B">
        <w:rPr>
          <w:rFonts w:ascii="Sylfaen" w:hAnsi="Sylfaen" w:cs="Sylfaen"/>
          <w:sz w:val="24"/>
          <w:szCs w:val="24"/>
        </w:rPr>
        <w:t>პრაქტიკა</w:t>
      </w:r>
      <w:r w:rsidRPr="000C625B">
        <w:rPr>
          <w:rFonts w:ascii="Sylfaen" w:hAnsi="Sylfaen"/>
          <w:sz w:val="24"/>
          <w:szCs w:val="24"/>
        </w:rPr>
        <w:t xml:space="preserve"> </w:t>
      </w:r>
      <w:r w:rsidRPr="000C625B">
        <w:rPr>
          <w:rFonts w:ascii="Sylfaen" w:hAnsi="Sylfaen" w:cs="Sylfaen"/>
          <w:sz w:val="24"/>
          <w:szCs w:val="24"/>
        </w:rPr>
        <w:t>არსებობს</w:t>
      </w:r>
      <w:r w:rsidRPr="000C625B">
        <w:rPr>
          <w:rFonts w:ascii="Sylfaen" w:hAnsi="Sylfaen"/>
          <w:sz w:val="24"/>
          <w:szCs w:val="24"/>
        </w:rPr>
        <w:t xml:space="preserve">, </w:t>
      </w:r>
      <w:r w:rsidRPr="000C625B">
        <w:rPr>
          <w:rFonts w:ascii="Sylfaen" w:hAnsi="Sylfaen" w:cs="Sylfaen"/>
          <w:sz w:val="24"/>
          <w:szCs w:val="24"/>
        </w:rPr>
        <w:t>პირი</w:t>
      </w:r>
      <w:r w:rsidRPr="000C625B">
        <w:rPr>
          <w:rFonts w:ascii="Sylfaen" w:hAnsi="Sylfaen"/>
          <w:sz w:val="24"/>
          <w:szCs w:val="24"/>
        </w:rPr>
        <w:t xml:space="preserve"> </w:t>
      </w:r>
      <w:r w:rsidRPr="000C625B">
        <w:rPr>
          <w:rFonts w:ascii="Sylfaen" w:hAnsi="Sylfaen" w:cs="Sylfaen"/>
          <w:sz w:val="24"/>
          <w:szCs w:val="24"/>
        </w:rPr>
        <w:t>ვერ</w:t>
      </w:r>
      <w:r w:rsidRPr="000C625B">
        <w:rPr>
          <w:rFonts w:ascii="Sylfaen" w:hAnsi="Sylfaen"/>
          <w:sz w:val="24"/>
          <w:szCs w:val="24"/>
        </w:rPr>
        <w:t xml:space="preserve"> </w:t>
      </w:r>
      <w:r w:rsidRPr="000C625B">
        <w:rPr>
          <w:rFonts w:ascii="Sylfaen" w:hAnsi="Sylfaen" w:cs="Sylfaen"/>
          <w:sz w:val="24"/>
          <w:szCs w:val="24"/>
        </w:rPr>
        <w:t>მიუთითებს</w:t>
      </w:r>
      <w:r w:rsidRPr="000C625B">
        <w:rPr>
          <w:rFonts w:ascii="Sylfaen" w:hAnsi="Sylfaen"/>
          <w:sz w:val="24"/>
          <w:szCs w:val="24"/>
        </w:rPr>
        <w:t xml:space="preserve">, </w:t>
      </w:r>
      <w:r w:rsidRPr="000C625B">
        <w:rPr>
          <w:rFonts w:ascii="Sylfaen" w:hAnsi="Sylfaen" w:cs="Sylfaen"/>
          <w:sz w:val="24"/>
          <w:szCs w:val="24"/>
        </w:rPr>
        <w:t>მათ</w:t>
      </w:r>
      <w:r w:rsidRPr="000C625B">
        <w:rPr>
          <w:rFonts w:ascii="Sylfaen" w:hAnsi="Sylfaen"/>
          <w:sz w:val="24"/>
          <w:szCs w:val="24"/>
        </w:rPr>
        <w:t xml:space="preserve"> </w:t>
      </w:r>
      <w:r w:rsidRPr="000C625B">
        <w:rPr>
          <w:rFonts w:ascii="Sylfaen" w:hAnsi="Sylfaen" w:cs="Sylfaen"/>
          <w:sz w:val="24"/>
          <w:szCs w:val="24"/>
        </w:rPr>
        <w:t>შორის</w:t>
      </w:r>
      <w:r w:rsidRPr="000C625B">
        <w:rPr>
          <w:rFonts w:ascii="Sylfaen" w:hAnsi="Sylfaen"/>
          <w:sz w:val="24"/>
          <w:szCs w:val="24"/>
        </w:rPr>
        <w:t xml:space="preserve">, </w:t>
      </w:r>
      <w:r w:rsidRPr="000C625B">
        <w:rPr>
          <w:rFonts w:ascii="Sylfaen" w:hAnsi="Sylfaen" w:cs="Sylfaen"/>
          <w:sz w:val="24"/>
          <w:szCs w:val="24"/>
        </w:rPr>
        <w:t>ზოგადი</w:t>
      </w:r>
      <w:r w:rsidRPr="000C625B">
        <w:rPr>
          <w:rFonts w:ascii="Sylfaen" w:hAnsi="Sylfaen"/>
          <w:sz w:val="24"/>
          <w:szCs w:val="24"/>
        </w:rPr>
        <w:t xml:space="preserve"> </w:t>
      </w:r>
      <w:r w:rsidRPr="000C625B">
        <w:rPr>
          <w:rFonts w:ascii="Sylfaen" w:hAnsi="Sylfaen" w:cs="Sylfaen"/>
          <w:sz w:val="24"/>
          <w:szCs w:val="24"/>
        </w:rPr>
        <w:t>ტერმინებით</w:t>
      </w:r>
      <w:r w:rsidRPr="000C625B">
        <w:rPr>
          <w:rFonts w:ascii="Sylfaen" w:hAnsi="Sylfaen"/>
          <w:sz w:val="24"/>
          <w:szCs w:val="24"/>
        </w:rPr>
        <w:t xml:space="preserve"> </w:t>
      </w:r>
      <w:r w:rsidRPr="000C625B">
        <w:rPr>
          <w:rFonts w:ascii="Sylfaen" w:hAnsi="Sylfaen" w:cs="Sylfaen"/>
          <w:sz w:val="24"/>
          <w:szCs w:val="24"/>
        </w:rPr>
        <w:t>ფორმულირებულ</w:t>
      </w:r>
      <w:r w:rsidRPr="000C625B">
        <w:rPr>
          <w:rFonts w:ascii="Sylfaen" w:hAnsi="Sylfaen"/>
          <w:sz w:val="24"/>
          <w:szCs w:val="24"/>
        </w:rPr>
        <w:t xml:space="preserve"> </w:t>
      </w:r>
      <w:r w:rsidRPr="000C625B">
        <w:rPr>
          <w:rFonts w:ascii="Sylfaen" w:hAnsi="Sylfaen" w:cs="Sylfaen"/>
          <w:sz w:val="24"/>
          <w:szCs w:val="24"/>
        </w:rPr>
        <w:t>ნორმასთან</w:t>
      </w:r>
      <w:r w:rsidRPr="000C625B">
        <w:rPr>
          <w:rFonts w:ascii="Sylfaen" w:hAnsi="Sylfaen"/>
          <w:sz w:val="24"/>
          <w:szCs w:val="24"/>
        </w:rPr>
        <w:t xml:space="preserve"> </w:t>
      </w:r>
      <w:r w:rsidRPr="000C625B">
        <w:rPr>
          <w:rFonts w:ascii="Sylfaen" w:hAnsi="Sylfaen" w:cs="Sylfaen"/>
          <w:sz w:val="24"/>
          <w:szCs w:val="24"/>
        </w:rPr>
        <w:t>მიმართებითაც</w:t>
      </w:r>
      <w:r w:rsidRPr="000C625B">
        <w:rPr>
          <w:rFonts w:ascii="Sylfaen" w:hAnsi="Sylfaen"/>
          <w:sz w:val="24"/>
          <w:szCs w:val="24"/>
        </w:rPr>
        <w:t xml:space="preserve"> </w:t>
      </w:r>
      <w:r w:rsidRPr="000C625B">
        <w:rPr>
          <w:rFonts w:ascii="Sylfaen" w:hAnsi="Sylfaen" w:cs="Sylfaen"/>
          <w:sz w:val="24"/>
          <w:szCs w:val="24"/>
        </w:rPr>
        <w:t>კი</w:t>
      </w:r>
      <w:r w:rsidRPr="000C625B">
        <w:rPr>
          <w:rFonts w:ascii="Sylfaen" w:hAnsi="Sylfaen"/>
          <w:sz w:val="24"/>
          <w:szCs w:val="24"/>
        </w:rPr>
        <w:t xml:space="preserve"> </w:t>
      </w:r>
      <w:r w:rsidRPr="000C625B">
        <w:rPr>
          <w:rFonts w:ascii="Sylfaen" w:hAnsi="Sylfaen" w:cs="Sylfaen"/>
          <w:sz w:val="24"/>
          <w:szCs w:val="24"/>
        </w:rPr>
        <w:t>პასუხისმგებლობის</w:t>
      </w:r>
      <w:r w:rsidRPr="000C625B">
        <w:rPr>
          <w:rFonts w:ascii="Sylfaen" w:hAnsi="Sylfaen"/>
          <w:sz w:val="24"/>
          <w:szCs w:val="24"/>
        </w:rPr>
        <w:t xml:space="preserve"> </w:t>
      </w:r>
      <w:r w:rsidRPr="000C625B">
        <w:rPr>
          <w:rFonts w:ascii="Sylfaen" w:hAnsi="Sylfaen" w:cs="Sylfaen"/>
          <w:sz w:val="24"/>
          <w:szCs w:val="24"/>
        </w:rPr>
        <w:t>დაკისრების</w:t>
      </w:r>
      <w:r w:rsidRPr="000C625B">
        <w:rPr>
          <w:rFonts w:ascii="Sylfaen" w:hAnsi="Sylfaen"/>
          <w:sz w:val="24"/>
          <w:szCs w:val="24"/>
        </w:rPr>
        <w:t xml:space="preserve"> </w:t>
      </w:r>
      <w:r w:rsidRPr="000C625B">
        <w:rPr>
          <w:rFonts w:ascii="Sylfaen" w:hAnsi="Sylfaen" w:cs="Sylfaen"/>
          <w:sz w:val="24"/>
          <w:szCs w:val="24"/>
        </w:rPr>
        <w:t>განუჭვრეტელ</w:t>
      </w:r>
      <w:r w:rsidRPr="000C625B">
        <w:rPr>
          <w:rFonts w:ascii="Sylfaen" w:hAnsi="Sylfaen"/>
          <w:sz w:val="24"/>
          <w:szCs w:val="24"/>
        </w:rPr>
        <w:t xml:space="preserve"> </w:t>
      </w:r>
      <w:r w:rsidRPr="000C625B">
        <w:rPr>
          <w:rFonts w:ascii="Sylfaen" w:hAnsi="Sylfaen" w:cs="Sylfaen"/>
          <w:sz w:val="24"/>
          <w:szCs w:val="24"/>
        </w:rPr>
        <w:t>ხასიათზე</w:t>
      </w:r>
      <w:r w:rsidR="00D3726A" w:rsidRPr="000C625B">
        <w:rPr>
          <w:rFonts w:ascii="Sylfaen" w:hAnsi="Sylfaen" w:cs="Sylfaen"/>
          <w:sz w:val="24"/>
          <w:szCs w:val="24"/>
        </w:rPr>
        <w:t xml:space="preserve">“ </w:t>
      </w:r>
      <w:r w:rsidR="00D3726A" w:rsidRPr="000C625B">
        <w:rPr>
          <w:rFonts w:ascii="Sylfaen" w:hAnsi="Sylfaen" w:cs="Calibri"/>
          <w:sz w:val="24"/>
          <w:szCs w:val="24"/>
        </w:rPr>
        <w:t>(საქართველოს საკონსტიტუციო სასამართლოს 2021 წლის 15 ივლისის №2/1/1289 გადაწყვეტილება საქმეზე „გიორგი ბერუაშვილი საქართველოს პარლამენტის წინააღმდეგ“, II-17)</w:t>
      </w:r>
      <w:r w:rsidRPr="000C625B">
        <w:rPr>
          <w:rFonts w:ascii="Sylfaen" w:hAnsi="Sylfaen"/>
          <w:sz w:val="24"/>
          <w:szCs w:val="24"/>
        </w:rPr>
        <w:t>.</w:t>
      </w:r>
    </w:p>
    <w:p w14:paraId="6CECED84" w14:textId="77777777" w:rsidR="00636787" w:rsidRPr="000C625B" w:rsidRDefault="00636787" w:rsidP="00B96194">
      <w:pPr>
        <w:pStyle w:val="ListParagraph"/>
        <w:numPr>
          <w:ilvl w:val="0"/>
          <w:numId w:val="2"/>
        </w:numPr>
        <w:spacing w:after="0"/>
        <w:ind w:left="0" w:firstLine="284"/>
        <w:jc w:val="both"/>
        <w:rPr>
          <w:rFonts w:ascii="Sylfaen" w:hAnsi="Sylfaen" w:cs="Calibri"/>
          <w:sz w:val="24"/>
          <w:szCs w:val="24"/>
        </w:rPr>
      </w:pPr>
      <w:r w:rsidRPr="000C625B">
        <w:rPr>
          <w:rFonts w:ascii="Sylfaen" w:hAnsi="Sylfaen"/>
          <w:sz w:val="24"/>
          <w:szCs w:val="24"/>
        </w:rPr>
        <w:t xml:space="preserve">საქართველოს საკონსტიტუციო სასამართლომ </w:t>
      </w:r>
      <w:r w:rsidRPr="000C625B">
        <w:rPr>
          <w:rFonts w:ascii="Sylfaen" w:hAnsi="Sylfaen" w:cs="Calibri"/>
          <w:sz w:val="24"/>
          <w:szCs w:val="24"/>
        </w:rPr>
        <w:t xml:space="preserve">2021 წლის 15 ივლისის №2/1/1289 გადაწყვეტილებაში საქმეზე „გიორგი ბერუაშვილი საქართველოს პარლამენტის წინააღმდეგ“, დაადგინა პასუხისმგებლობის დამდგენი ნორმის კონსტიტუციის 31-ე მუხლის მე-9 პუნქტთან შესაბამისობის შეფასების მასშტაბი და განმარტა, რომ პასუხისმგებლობის დამდგენი ნორმის </w:t>
      </w:r>
      <w:proofErr w:type="spellStart"/>
      <w:r w:rsidRPr="000C625B">
        <w:rPr>
          <w:rFonts w:ascii="Sylfaen" w:hAnsi="Sylfaen" w:cs="Calibri"/>
          <w:sz w:val="24"/>
          <w:szCs w:val="24"/>
        </w:rPr>
        <w:t>განჭვრეტადობის</w:t>
      </w:r>
      <w:proofErr w:type="spellEnd"/>
      <w:r w:rsidRPr="000C625B">
        <w:rPr>
          <w:rFonts w:ascii="Sylfaen" w:hAnsi="Sylfaen" w:cs="Calibri"/>
          <w:sz w:val="24"/>
          <w:szCs w:val="24"/>
        </w:rPr>
        <w:t xml:space="preserve"> კონსტიტუციურ პრინციპთან შესაბამისობა კითხვის ნიშნის ქვეშ დგება: ა. როდესაც სადავო ნორმის/მის რომელიმე ნორმატიულ შინაარსთან დაკავშირებით არსებობს საერთო სასამართლოების ურთიერთსაწინააღმდეგო განმარტებები; ბ. როდესაც ხდება საერთო სასამართლოების დადგენილი პრაქტიკის შეცვლა და სადავო ნორმის ახლად იდენტიფიცირებული ნორმატიული შინაარსის გავრცელება მის განმარტებამდე ჩადენილ ქმედებებზე; გ. როდესაც სადავოა მისი რომელიმე ნორმატიული შინაარსი, რომელიც საერთო სასამართლოს მიერ პასუხისმგებლობის დამდგენი ნორმის ზედმეტად ფართო, წინასწარ </w:t>
      </w:r>
      <w:proofErr w:type="spellStart"/>
      <w:r w:rsidRPr="000C625B">
        <w:rPr>
          <w:rFonts w:ascii="Sylfaen" w:hAnsi="Sylfaen" w:cs="Calibri"/>
          <w:sz w:val="24"/>
          <w:szCs w:val="24"/>
        </w:rPr>
        <w:t>განუჭვრეტადი</w:t>
      </w:r>
      <w:proofErr w:type="spellEnd"/>
      <w:r w:rsidRPr="000C625B">
        <w:rPr>
          <w:rFonts w:ascii="Sylfaen" w:hAnsi="Sylfaen" w:cs="Calibri"/>
          <w:sz w:val="24"/>
          <w:szCs w:val="24"/>
        </w:rPr>
        <w:t xml:space="preserve"> განმარტების შედეგია (საქართველოს საკონსტიტუციო სასამართლოს 2021 წლის 15 ივლისის №2/1/1289 გადაწყვეტილება საქმეზე „გიორგი ბერუაშვილი საქართველოს პარლამენტის წინააღმდეგ“, II-23). ამდენად, იმისათვის, რათა სარჩელი დასაბუთებულად იქნეს მიჩნეული, მოსარჩელემ უნდა წ</w:t>
      </w:r>
      <w:r w:rsidR="00E12940" w:rsidRPr="000C625B">
        <w:rPr>
          <w:rFonts w:ascii="Sylfaen" w:hAnsi="Sylfaen" w:cs="Calibri"/>
          <w:sz w:val="24"/>
          <w:szCs w:val="24"/>
        </w:rPr>
        <w:t>ა</w:t>
      </w:r>
      <w:r w:rsidRPr="000C625B">
        <w:rPr>
          <w:rFonts w:ascii="Sylfaen" w:hAnsi="Sylfaen" w:cs="Calibri"/>
          <w:sz w:val="24"/>
          <w:szCs w:val="24"/>
        </w:rPr>
        <w:t>რმოაჩინოს, რომ მის მიმართა მოხდა სადავო ნორმის იმ ფორმით გამოყენება, რომელიც ქმნის ზემოთ</w:t>
      </w:r>
      <w:r w:rsidR="001C67F7" w:rsidRPr="000C625B">
        <w:rPr>
          <w:rFonts w:ascii="Sylfaen" w:hAnsi="Sylfaen" w:cs="Calibri"/>
          <w:sz w:val="24"/>
          <w:szCs w:val="24"/>
        </w:rPr>
        <w:t xml:space="preserve"> </w:t>
      </w:r>
      <w:r w:rsidRPr="000C625B">
        <w:rPr>
          <w:rFonts w:ascii="Sylfaen" w:hAnsi="Sylfaen" w:cs="Calibri"/>
          <w:sz w:val="24"/>
          <w:szCs w:val="24"/>
        </w:rPr>
        <w:t>ხსენებულ რომელიმე პირობას.</w:t>
      </w:r>
    </w:p>
    <w:p w14:paraId="5860E3A0" w14:textId="77777777" w:rsidR="000C2C45" w:rsidRPr="000C625B" w:rsidRDefault="000D2EF7" w:rsidP="00F27BA0">
      <w:pPr>
        <w:pStyle w:val="ListParagraph"/>
        <w:numPr>
          <w:ilvl w:val="0"/>
          <w:numId w:val="2"/>
        </w:numPr>
        <w:spacing w:after="0"/>
        <w:ind w:left="0" w:firstLine="284"/>
        <w:jc w:val="both"/>
        <w:rPr>
          <w:rFonts w:ascii="Sylfaen" w:hAnsi="Sylfaen" w:cs="Calibri"/>
          <w:sz w:val="24"/>
          <w:szCs w:val="24"/>
        </w:rPr>
      </w:pPr>
      <w:r w:rsidRPr="000C625B">
        <w:rPr>
          <w:rFonts w:ascii="Sylfaen" w:hAnsi="Sylfaen"/>
          <w:sz w:val="24"/>
          <w:szCs w:val="24"/>
        </w:rPr>
        <w:t xml:space="preserve">მოსარჩელესთან დაკავშირებით მიღებულ განაჩენში </w:t>
      </w:r>
      <w:r w:rsidR="00135749" w:rsidRPr="000C625B">
        <w:rPr>
          <w:rFonts w:ascii="Sylfaen" w:hAnsi="Sylfaen"/>
          <w:sz w:val="24"/>
          <w:szCs w:val="24"/>
        </w:rPr>
        <w:t>საქმის განმხილველმა პირველი ინსტანციის სასამართლომ</w:t>
      </w:r>
      <w:r w:rsidRPr="000C625B">
        <w:rPr>
          <w:rFonts w:ascii="Sylfaen" w:hAnsi="Sylfaen"/>
          <w:sz w:val="24"/>
          <w:szCs w:val="24"/>
        </w:rPr>
        <w:t xml:space="preserve"> „იარაღის შესახებ“ საქართველოს კანონის რიგი მუხლების</w:t>
      </w:r>
      <w:r w:rsidR="00A23586" w:rsidRPr="000C625B">
        <w:rPr>
          <w:rFonts w:ascii="Sylfaen" w:hAnsi="Sylfaen"/>
          <w:sz w:val="24"/>
          <w:szCs w:val="24"/>
        </w:rPr>
        <w:t xml:space="preserve"> გაანალიზების</w:t>
      </w:r>
      <w:r w:rsidRPr="000C625B">
        <w:rPr>
          <w:rFonts w:ascii="Sylfaen" w:hAnsi="Sylfaen"/>
          <w:sz w:val="24"/>
          <w:szCs w:val="24"/>
        </w:rPr>
        <w:t xml:space="preserve">ა და ექსპერტის დასკვნის საფუძველზე მიიჩნია, რომ „იარაღის შესახებ“ საქართველოს </w:t>
      </w:r>
      <w:r w:rsidRPr="000C625B">
        <w:rPr>
          <w:rFonts w:ascii="Sylfaen" w:hAnsi="Sylfaen" w:cs="Calibri"/>
          <w:sz w:val="24"/>
          <w:szCs w:val="24"/>
        </w:rPr>
        <w:t xml:space="preserve">კანონის </w:t>
      </w:r>
      <w:r w:rsidRPr="000C625B">
        <w:rPr>
          <w:rFonts w:ascii="Sylfaen" w:hAnsi="Sylfaen"/>
          <w:sz w:val="24"/>
          <w:szCs w:val="24"/>
        </w:rPr>
        <w:t xml:space="preserve">მე-19 მუხლის მე-2 პუნქტის „ბ“ ქვეპუნქტის მიზნებისათვის, მოსარჩელის საკუთრებიდან ამოღებული სამხედრო დანიშნულების ვაზნები ვერ ჩაითვლებოდა მის საკუთრებაში არსებული </w:t>
      </w:r>
      <w:r w:rsidR="00410E6C" w:rsidRPr="000C625B">
        <w:rPr>
          <w:rFonts w:ascii="Sylfaen" w:hAnsi="Sylfaen"/>
          <w:sz w:val="24"/>
          <w:szCs w:val="24"/>
        </w:rPr>
        <w:t xml:space="preserve">სამოქალაქო ტიპის </w:t>
      </w:r>
      <w:r w:rsidRPr="000C625B">
        <w:rPr>
          <w:rFonts w:ascii="Sylfaen" w:hAnsi="Sylfaen"/>
          <w:sz w:val="24"/>
          <w:szCs w:val="24"/>
        </w:rPr>
        <w:t>სანადირო იარაღიდან გასროლისთვის განკუთვნილ ვაზნებად, მიუხედავად ამ იარაღ</w:t>
      </w:r>
      <w:r w:rsidR="00A22C39" w:rsidRPr="000C625B">
        <w:rPr>
          <w:rFonts w:ascii="Sylfaen" w:hAnsi="Sylfaen"/>
          <w:sz w:val="24"/>
          <w:szCs w:val="24"/>
        </w:rPr>
        <w:t>თან</w:t>
      </w:r>
      <w:r w:rsidRPr="000C625B">
        <w:rPr>
          <w:rFonts w:ascii="Sylfaen" w:hAnsi="Sylfaen"/>
          <w:sz w:val="24"/>
          <w:szCs w:val="24"/>
        </w:rPr>
        <w:t xml:space="preserve"> მათი თავსებადობისა. შესაბამისად</w:t>
      </w:r>
      <w:r w:rsidR="00393942" w:rsidRPr="000C625B">
        <w:rPr>
          <w:rFonts w:ascii="Sylfaen" w:hAnsi="Sylfaen"/>
          <w:sz w:val="24"/>
          <w:szCs w:val="24"/>
        </w:rPr>
        <w:t>,</w:t>
      </w:r>
      <w:r w:rsidRPr="000C625B">
        <w:rPr>
          <w:rFonts w:ascii="Sylfaen" w:hAnsi="Sylfaen"/>
          <w:sz w:val="24"/>
          <w:szCs w:val="24"/>
        </w:rPr>
        <w:t xml:space="preserve"> დაასკვნა, რომ </w:t>
      </w:r>
      <w:r w:rsidRPr="000C625B">
        <w:rPr>
          <w:rFonts w:ascii="Sylfaen" w:hAnsi="Sylfaen"/>
          <w:sz w:val="24"/>
          <w:szCs w:val="24"/>
        </w:rPr>
        <w:lastRenderedPageBreak/>
        <w:t xml:space="preserve">მოსარჩელის მხრიდან ადგილი ჰქონდა სამხედრო </w:t>
      </w:r>
      <w:r w:rsidR="00125BBD" w:rsidRPr="000C625B">
        <w:rPr>
          <w:rFonts w:ascii="Sylfaen" w:hAnsi="Sylfaen"/>
          <w:sz w:val="24"/>
          <w:szCs w:val="24"/>
        </w:rPr>
        <w:t xml:space="preserve">დანიშნულების </w:t>
      </w:r>
      <w:r w:rsidRPr="000C625B">
        <w:rPr>
          <w:rFonts w:ascii="Sylfaen" w:hAnsi="Sylfaen"/>
          <w:sz w:val="24"/>
          <w:szCs w:val="24"/>
        </w:rPr>
        <w:t>ვაზნების უკანონო შეძენა-შენახვას.</w:t>
      </w:r>
      <w:r w:rsidR="000C2C45" w:rsidRPr="000C625B">
        <w:rPr>
          <w:rFonts w:ascii="Sylfaen" w:hAnsi="Sylfaen"/>
          <w:sz w:val="24"/>
          <w:szCs w:val="24"/>
        </w:rPr>
        <w:t xml:space="preserve"> სასამართლომ განმარტა, რომ „იარაღის შესახებ“ საქართველოს კანონის მე-19 მუხლის მე-2 პუნქტის „ბ“ ქვეპუნქტი და </w:t>
      </w:r>
      <w:r w:rsidR="000C2C45" w:rsidRPr="000C625B">
        <w:rPr>
          <w:rFonts w:ascii="Sylfaen" w:hAnsi="Sylfaen" w:cs="Calibri"/>
          <w:sz w:val="24"/>
          <w:szCs w:val="24"/>
        </w:rPr>
        <w:t xml:space="preserve">31-ე მუხლის პირველი პუნქტის „გ“ ქვეპუნქტი </w:t>
      </w:r>
      <w:r w:rsidR="00D3726A" w:rsidRPr="000C625B">
        <w:rPr>
          <w:rFonts w:ascii="Sylfaen" w:hAnsi="Sylfaen" w:cs="Calibri"/>
          <w:sz w:val="24"/>
          <w:szCs w:val="24"/>
        </w:rPr>
        <w:t>სამოქალაქო ტიპის სანადირო იარაღის მფლობელ პირს არ აძლევდა სამხედრო დანიშნულების ვაზნების შეძენისა და შენახვის უფლებას, თუნდაც ამ იარაღიდან შესაძლებელი ყოფილიყო მათი გასროლა კალიბრის მსგავსებიდან გამომდინარე.</w:t>
      </w:r>
    </w:p>
    <w:p w14:paraId="180968F0" w14:textId="77777777" w:rsidR="00D03ECA" w:rsidRPr="000C625B" w:rsidRDefault="00D03ECA" w:rsidP="00D03ECA">
      <w:pPr>
        <w:pStyle w:val="ListParagraph"/>
        <w:numPr>
          <w:ilvl w:val="0"/>
          <w:numId w:val="2"/>
        </w:numPr>
        <w:spacing w:after="0"/>
        <w:ind w:left="0" w:firstLine="284"/>
        <w:jc w:val="both"/>
        <w:rPr>
          <w:rFonts w:ascii="Sylfaen" w:hAnsi="Sylfaen"/>
          <w:sz w:val="24"/>
          <w:szCs w:val="24"/>
        </w:rPr>
      </w:pPr>
      <w:r w:rsidRPr="000C625B">
        <w:rPr>
          <w:rFonts w:ascii="Sylfaen" w:hAnsi="Sylfaen"/>
          <w:sz w:val="24"/>
          <w:szCs w:val="24"/>
        </w:rPr>
        <w:t>აღსანიშნავია, რომ მოსარჩელის მიმართ წარმოებულ სისხლის სამართლის საქმეზე</w:t>
      </w:r>
      <w:r w:rsidR="001D7129">
        <w:rPr>
          <w:rFonts w:ascii="Sylfaen" w:hAnsi="Sylfaen"/>
          <w:sz w:val="24"/>
          <w:szCs w:val="24"/>
        </w:rPr>
        <w:t>,</w:t>
      </w:r>
      <w:r w:rsidRPr="000C625B">
        <w:rPr>
          <w:rFonts w:ascii="Sylfaen" w:hAnsi="Sylfaen"/>
          <w:sz w:val="24"/>
          <w:szCs w:val="24"/>
        </w:rPr>
        <w:t xml:space="preserve"> საქართველოს უზენაესმა სასამართლომ 2021 წლის 1 მარტს მიიღო </w:t>
      </w:r>
      <w:r w:rsidRPr="000C625B">
        <w:rPr>
          <w:rFonts w:ascii="Sylfaen" w:hAnsi="Sylfaen" w:cs="Calibri"/>
          <w:sz w:val="24"/>
          <w:szCs w:val="24"/>
        </w:rPr>
        <w:t xml:space="preserve">№616აპ-20 </w:t>
      </w:r>
      <w:r w:rsidRPr="000C625B">
        <w:rPr>
          <w:rFonts w:ascii="Sylfaen" w:hAnsi="Sylfaen"/>
          <w:sz w:val="24"/>
          <w:szCs w:val="24"/>
        </w:rPr>
        <w:t xml:space="preserve">განჩინება </w:t>
      </w:r>
      <w:proofErr w:type="spellStart"/>
      <w:r w:rsidRPr="000C625B">
        <w:rPr>
          <w:rFonts w:ascii="Sylfaen" w:hAnsi="Sylfaen"/>
          <w:sz w:val="24"/>
          <w:szCs w:val="24"/>
        </w:rPr>
        <w:t>საკასაციო</w:t>
      </w:r>
      <w:proofErr w:type="spellEnd"/>
      <w:r w:rsidRPr="000C625B">
        <w:rPr>
          <w:rFonts w:ascii="Sylfaen" w:hAnsi="Sylfaen"/>
          <w:sz w:val="24"/>
          <w:szCs w:val="24"/>
        </w:rPr>
        <w:t xml:space="preserve"> საჩივრის დაუშვებლად ცნობის თაობაზე. უზენაესმა სასამართლომ გაიზიარა პირველი ინსტანციის სასამართლოს მსჯელობა, მათ შორის, „იარაღის შესახებ“ საქართველოს </w:t>
      </w:r>
      <w:r w:rsidRPr="000C625B">
        <w:rPr>
          <w:rFonts w:ascii="Sylfaen" w:hAnsi="Sylfaen" w:cs="Calibri"/>
          <w:sz w:val="24"/>
          <w:szCs w:val="24"/>
        </w:rPr>
        <w:t xml:space="preserve">კანონის </w:t>
      </w:r>
      <w:r w:rsidRPr="000C625B">
        <w:rPr>
          <w:rFonts w:ascii="Sylfaen" w:hAnsi="Sylfaen"/>
          <w:sz w:val="24"/>
          <w:szCs w:val="24"/>
        </w:rPr>
        <w:t>მე-19 მუხლის მე-2 პუნქტის „ბ“ ქვეპუნქტის განმარტებასთან დაკავშირებით. კერძოდ, უზენაესმა სასამართლომ აღნიშნა, რომ „იარაღის შესახებ“ საქართველოს კანონის მე-19 მუხლის მე-2 პუნქტის ,,ბ“ ქვეპუნქტის თანახმად, საბრძოლო მასალის შეძენის უფლება, მათ შორის</w:t>
      </w:r>
      <w:r w:rsidR="00393942" w:rsidRPr="000C625B">
        <w:rPr>
          <w:rFonts w:ascii="Sylfaen" w:hAnsi="Sylfaen"/>
          <w:sz w:val="24"/>
          <w:szCs w:val="24"/>
        </w:rPr>
        <w:t>,</w:t>
      </w:r>
      <w:r w:rsidRPr="000C625B">
        <w:rPr>
          <w:rFonts w:ascii="Sylfaen" w:hAnsi="Sylfaen"/>
          <w:sz w:val="24"/>
          <w:szCs w:val="24"/>
        </w:rPr>
        <w:t xml:space="preserve"> საქართველოს მოქალაქეს, გააჩნია მხოლოდ იმ შემთხვევაში, როდესაც </w:t>
      </w:r>
      <w:r w:rsidR="00393942" w:rsidRPr="000C625B">
        <w:rPr>
          <w:rFonts w:ascii="Sylfaen" w:hAnsi="Sylfaen"/>
          <w:sz w:val="24"/>
          <w:szCs w:val="24"/>
        </w:rPr>
        <w:t>„</w:t>
      </w:r>
      <w:r w:rsidRPr="000C625B">
        <w:rPr>
          <w:rFonts w:ascii="Sylfaen" w:hAnsi="Sylfaen"/>
          <w:sz w:val="24"/>
          <w:szCs w:val="24"/>
        </w:rPr>
        <w:t>ეს საბრძოლო მასალა განკუთვნილია მათ საკუთრებაში (მფლობელობაში) არსებული რეგისტრირებული ან აღრიცხული იარაღიდან გასროლისათვის“. აღნიშნული არ გულისხმობს პირის უფლებას</w:t>
      </w:r>
      <w:r w:rsidR="0043034D">
        <w:rPr>
          <w:rFonts w:ascii="Sylfaen" w:hAnsi="Sylfaen"/>
          <w:sz w:val="24"/>
          <w:szCs w:val="24"/>
        </w:rPr>
        <w:t>,</w:t>
      </w:r>
      <w:r w:rsidRPr="000C625B">
        <w:rPr>
          <w:rFonts w:ascii="Sylfaen" w:hAnsi="Sylfaen"/>
          <w:sz w:val="24"/>
          <w:szCs w:val="24"/>
        </w:rPr>
        <w:t xml:space="preserve"> საკუთრებაში (მფლობელობაში) ჰქონდეს სამხედრო დანიშნულების საბრძოლო მასალა, რომელიც შეიძლება</w:t>
      </w:r>
      <w:r w:rsidR="0079663B">
        <w:rPr>
          <w:rFonts w:ascii="Sylfaen" w:hAnsi="Sylfaen"/>
          <w:sz w:val="24"/>
          <w:szCs w:val="24"/>
        </w:rPr>
        <w:t>,</w:t>
      </w:r>
      <w:r w:rsidRPr="000C625B">
        <w:rPr>
          <w:rFonts w:ascii="Sylfaen" w:hAnsi="Sylfaen"/>
          <w:sz w:val="24"/>
          <w:szCs w:val="24"/>
        </w:rPr>
        <w:t xml:space="preserve"> ვარგისი იყოს გასროლისთვის მასზე რეგისტრირებული სამოქალაქო იარაღიდან, თუ ამ პირს არ გააჩნია სამხედრო-საბრძოლო იარაღის შეძენა/</w:t>
      </w:r>
      <w:r w:rsidR="00A85B98" w:rsidRPr="000C625B">
        <w:rPr>
          <w:rFonts w:ascii="Sylfaen" w:hAnsi="Sylfaen"/>
          <w:sz w:val="24"/>
          <w:szCs w:val="24"/>
        </w:rPr>
        <w:t>შე</w:t>
      </w:r>
      <w:r w:rsidRPr="000C625B">
        <w:rPr>
          <w:rFonts w:ascii="Sylfaen" w:hAnsi="Sylfaen"/>
          <w:sz w:val="24"/>
          <w:szCs w:val="24"/>
        </w:rPr>
        <w:t>ნახვა/ტარების უფლება.</w:t>
      </w:r>
    </w:p>
    <w:p w14:paraId="3C0B83AC" w14:textId="4293D8A7" w:rsidR="00817B64" w:rsidRPr="000C625B" w:rsidRDefault="00636787" w:rsidP="00B96194">
      <w:pPr>
        <w:pStyle w:val="ListParagraph"/>
        <w:numPr>
          <w:ilvl w:val="0"/>
          <w:numId w:val="2"/>
        </w:numPr>
        <w:spacing w:after="0"/>
        <w:ind w:left="0" w:firstLine="284"/>
        <w:jc w:val="both"/>
        <w:rPr>
          <w:rFonts w:ascii="Sylfaen" w:hAnsi="Sylfaen"/>
          <w:sz w:val="24"/>
          <w:szCs w:val="24"/>
        </w:rPr>
      </w:pPr>
      <w:r w:rsidRPr="000C625B">
        <w:rPr>
          <w:rFonts w:ascii="Sylfaen" w:hAnsi="Sylfaen" w:cs="Calibri"/>
          <w:sz w:val="24"/>
          <w:szCs w:val="24"/>
        </w:rPr>
        <w:t>მოსარჩელეს არ წარმოუდგენია რაიმე მტკიცებულება და არც საკონსტიტუციო სასამართლოსათვის არი</w:t>
      </w:r>
      <w:r w:rsidR="00EF086D" w:rsidRPr="000C625B">
        <w:rPr>
          <w:rFonts w:ascii="Sylfaen" w:hAnsi="Sylfaen" w:cs="Calibri"/>
          <w:sz w:val="24"/>
          <w:szCs w:val="24"/>
        </w:rPr>
        <w:t>ს</w:t>
      </w:r>
      <w:r w:rsidRPr="000C625B">
        <w:rPr>
          <w:rFonts w:ascii="Sylfaen" w:hAnsi="Sylfaen" w:cs="Calibri"/>
          <w:sz w:val="24"/>
          <w:szCs w:val="24"/>
        </w:rPr>
        <w:t xml:space="preserve"> ცნობილი, რომ საერთო სასამართლოები სადავო ნორმის ზემოთ</w:t>
      </w:r>
      <w:r w:rsidR="001C67F7" w:rsidRPr="000C625B">
        <w:rPr>
          <w:rFonts w:ascii="Sylfaen" w:hAnsi="Sylfaen" w:cs="Calibri"/>
          <w:sz w:val="24"/>
          <w:szCs w:val="24"/>
        </w:rPr>
        <w:t xml:space="preserve"> </w:t>
      </w:r>
      <w:r w:rsidRPr="000C625B">
        <w:rPr>
          <w:rFonts w:ascii="Sylfaen" w:hAnsi="Sylfaen" w:cs="Calibri"/>
          <w:sz w:val="24"/>
          <w:szCs w:val="24"/>
        </w:rPr>
        <w:t>ხსენებულ ნორმატიულ შინაარსს არაერთგ</w:t>
      </w:r>
      <w:r w:rsidR="00EF086D" w:rsidRPr="000C625B">
        <w:rPr>
          <w:rFonts w:ascii="Sylfaen" w:hAnsi="Sylfaen" w:cs="Calibri"/>
          <w:sz w:val="24"/>
          <w:szCs w:val="24"/>
        </w:rPr>
        <w:t>ვ</w:t>
      </w:r>
      <w:r w:rsidRPr="000C625B">
        <w:rPr>
          <w:rFonts w:ascii="Sylfaen" w:hAnsi="Sylfaen" w:cs="Calibri"/>
          <w:sz w:val="24"/>
          <w:szCs w:val="24"/>
        </w:rPr>
        <w:t>აროვნად იყენებენ. კონსტიტუციური სარჩელიდან არ იკვეთება, რომ რომელიმე სისხლის სამართლის საქმეზე სამხედრო დანიშნულების საბრძოლო მასალის ფლობა კანონიერად იქნა მიჩნეული</w:t>
      </w:r>
      <w:r w:rsidR="00393942" w:rsidRPr="000C625B">
        <w:rPr>
          <w:rFonts w:ascii="Sylfaen" w:hAnsi="Sylfaen" w:cs="Calibri"/>
          <w:sz w:val="24"/>
          <w:szCs w:val="24"/>
        </w:rPr>
        <w:t>,</w:t>
      </w:r>
      <w:r w:rsidRPr="000C625B">
        <w:rPr>
          <w:rFonts w:ascii="Sylfaen" w:hAnsi="Sylfaen" w:cs="Calibri"/>
          <w:sz w:val="24"/>
          <w:szCs w:val="24"/>
        </w:rPr>
        <w:t xml:space="preserve"> ვინაიდ</w:t>
      </w:r>
      <w:r w:rsidR="00E12940" w:rsidRPr="000C625B">
        <w:rPr>
          <w:rFonts w:ascii="Sylfaen" w:hAnsi="Sylfaen" w:cs="Calibri"/>
          <w:sz w:val="24"/>
          <w:szCs w:val="24"/>
        </w:rPr>
        <w:t>ა</w:t>
      </w:r>
      <w:r w:rsidRPr="000C625B">
        <w:rPr>
          <w:rFonts w:ascii="Sylfaen" w:hAnsi="Sylfaen" w:cs="Calibri"/>
          <w:sz w:val="24"/>
          <w:szCs w:val="24"/>
        </w:rPr>
        <w:t xml:space="preserve">ნ შესაბამისი ვაზნების გასროლა სანადირო იარაღიდანაც არის შესაძლებელი. </w:t>
      </w:r>
      <w:r w:rsidR="005111AE" w:rsidRPr="000C625B">
        <w:rPr>
          <w:rFonts w:ascii="Sylfaen" w:hAnsi="Sylfaen"/>
          <w:sz w:val="24"/>
          <w:szCs w:val="24"/>
        </w:rPr>
        <w:t>ასევე</w:t>
      </w:r>
      <w:r w:rsidR="00393942" w:rsidRPr="000C625B">
        <w:rPr>
          <w:rFonts w:ascii="Sylfaen" w:hAnsi="Sylfaen"/>
          <w:sz w:val="24"/>
          <w:szCs w:val="24"/>
        </w:rPr>
        <w:t>,</w:t>
      </w:r>
      <w:r w:rsidR="005111AE" w:rsidRPr="000C625B">
        <w:rPr>
          <w:rFonts w:ascii="Sylfaen" w:hAnsi="Sylfaen"/>
          <w:sz w:val="24"/>
          <w:szCs w:val="24"/>
        </w:rPr>
        <w:t xml:space="preserve"> არ გამოკვეთილა, რომ მოსარჩელის საქმეზე განხორციელდა სასამართლოს მიერ დადგენილი პრაქტიკის შეცვლა და ნორმის ახლად</w:t>
      </w:r>
      <w:r w:rsidR="00A85B98" w:rsidRPr="000C625B">
        <w:rPr>
          <w:rFonts w:ascii="Sylfaen" w:hAnsi="Sylfaen"/>
          <w:sz w:val="24"/>
          <w:szCs w:val="24"/>
        </w:rPr>
        <w:t xml:space="preserve"> </w:t>
      </w:r>
      <w:r w:rsidR="005111AE" w:rsidRPr="000C625B">
        <w:rPr>
          <w:rFonts w:ascii="Sylfaen" w:hAnsi="Sylfaen"/>
          <w:sz w:val="24"/>
          <w:szCs w:val="24"/>
        </w:rPr>
        <w:t>იდენტიფიცირებული შინაარსი გავრცელდა ამგვარ განმარტებამდე ჩადენილ ქმედებაზე.</w:t>
      </w:r>
      <w:r w:rsidRPr="000C625B">
        <w:rPr>
          <w:rFonts w:ascii="Sylfaen" w:hAnsi="Sylfaen"/>
          <w:sz w:val="24"/>
          <w:szCs w:val="24"/>
        </w:rPr>
        <w:t xml:space="preserve"> ამდენად, მოცემულ შემთხვევაში</w:t>
      </w:r>
      <w:r w:rsidR="0043034D">
        <w:rPr>
          <w:rFonts w:ascii="Sylfaen" w:hAnsi="Sylfaen"/>
          <w:sz w:val="24"/>
          <w:szCs w:val="24"/>
        </w:rPr>
        <w:t>,</w:t>
      </w:r>
      <w:r w:rsidRPr="000C625B">
        <w:rPr>
          <w:rFonts w:ascii="Sylfaen" w:hAnsi="Sylfaen"/>
          <w:sz w:val="24"/>
          <w:szCs w:val="24"/>
        </w:rPr>
        <w:t xml:space="preserve"> </w:t>
      </w:r>
      <w:r w:rsidR="006A0A02" w:rsidRPr="000C625B">
        <w:rPr>
          <w:rFonts w:ascii="Sylfaen" w:hAnsi="Sylfaen"/>
          <w:sz w:val="24"/>
          <w:szCs w:val="24"/>
        </w:rPr>
        <w:t xml:space="preserve">სადავო ნორმა </w:t>
      </w:r>
      <w:r w:rsidR="00CE0462" w:rsidRPr="000C625B">
        <w:rPr>
          <w:rFonts w:ascii="Sylfaen" w:hAnsi="Sylfaen"/>
          <w:sz w:val="24"/>
          <w:szCs w:val="24"/>
        </w:rPr>
        <w:t>არსებითად განსახილველად შეიძლება იქნეს მი</w:t>
      </w:r>
      <w:r w:rsidR="00E12940" w:rsidRPr="000C625B">
        <w:rPr>
          <w:rFonts w:ascii="Sylfaen" w:hAnsi="Sylfaen"/>
          <w:sz w:val="24"/>
          <w:szCs w:val="24"/>
        </w:rPr>
        <w:t>ღ</w:t>
      </w:r>
      <w:r w:rsidR="00CE0462" w:rsidRPr="000C625B">
        <w:rPr>
          <w:rFonts w:ascii="Sylfaen" w:hAnsi="Sylfaen"/>
          <w:sz w:val="24"/>
          <w:szCs w:val="24"/>
        </w:rPr>
        <w:t>ებული მხოლოდ იმ შემთხვევაში</w:t>
      </w:r>
      <w:r w:rsidR="006A0A02" w:rsidRPr="000C625B">
        <w:rPr>
          <w:rFonts w:ascii="Sylfaen" w:hAnsi="Sylfaen"/>
          <w:sz w:val="24"/>
          <w:szCs w:val="24"/>
        </w:rPr>
        <w:t>,</w:t>
      </w:r>
      <w:r w:rsidR="00CE0462" w:rsidRPr="000C625B">
        <w:rPr>
          <w:rFonts w:ascii="Sylfaen" w:hAnsi="Sylfaen"/>
          <w:sz w:val="24"/>
          <w:szCs w:val="24"/>
        </w:rPr>
        <w:t xml:space="preserve"> თუ არსებობს ალბათობა იმისა, რომ</w:t>
      </w:r>
      <w:r w:rsidR="005111AE" w:rsidRPr="000C625B">
        <w:rPr>
          <w:rFonts w:ascii="Sylfaen" w:hAnsi="Sylfaen"/>
          <w:sz w:val="24"/>
          <w:szCs w:val="24"/>
        </w:rPr>
        <w:t xml:space="preserve"> </w:t>
      </w:r>
      <w:r w:rsidR="001A7F01" w:rsidRPr="000C625B">
        <w:rPr>
          <w:rFonts w:ascii="Sylfaen" w:hAnsi="Sylfaen"/>
          <w:sz w:val="24"/>
          <w:szCs w:val="24"/>
        </w:rPr>
        <w:t xml:space="preserve">საერთო სასამართლოს მხრიდან </w:t>
      </w:r>
      <w:r w:rsidR="005111AE" w:rsidRPr="000C625B">
        <w:rPr>
          <w:rFonts w:ascii="Sylfaen" w:hAnsi="Sylfaen"/>
          <w:sz w:val="24"/>
          <w:szCs w:val="24"/>
        </w:rPr>
        <w:t>სადავო ნორმების</w:t>
      </w:r>
      <w:r w:rsidR="00CE0462" w:rsidRPr="000C625B">
        <w:rPr>
          <w:rFonts w:ascii="Sylfaen" w:hAnsi="Sylfaen"/>
          <w:sz w:val="24"/>
          <w:szCs w:val="24"/>
        </w:rPr>
        <w:t xml:space="preserve"> </w:t>
      </w:r>
      <w:r w:rsidR="00334FB3" w:rsidRPr="000C625B">
        <w:rPr>
          <w:rFonts w:ascii="Sylfaen" w:hAnsi="Sylfaen"/>
          <w:sz w:val="24"/>
          <w:szCs w:val="24"/>
        </w:rPr>
        <w:t>მოსარჩელის მიმართ გამოყენება წარმოადგენს</w:t>
      </w:r>
      <w:r w:rsidR="00817B64" w:rsidRPr="000C625B">
        <w:rPr>
          <w:rFonts w:ascii="Sylfaen" w:hAnsi="Sylfaen"/>
          <w:sz w:val="24"/>
          <w:szCs w:val="24"/>
        </w:rPr>
        <w:t xml:space="preserve"> </w:t>
      </w:r>
      <w:r w:rsidR="00CE0462" w:rsidRPr="000C625B">
        <w:rPr>
          <w:rFonts w:ascii="Sylfaen" w:hAnsi="Sylfaen"/>
          <w:sz w:val="24"/>
          <w:szCs w:val="24"/>
        </w:rPr>
        <w:t>მათი</w:t>
      </w:r>
      <w:r w:rsidR="00817B64" w:rsidRPr="000C625B">
        <w:rPr>
          <w:rFonts w:ascii="Sylfaen" w:hAnsi="Sylfaen" w:cs="Calibri"/>
          <w:sz w:val="24"/>
          <w:szCs w:val="24"/>
        </w:rPr>
        <w:t xml:space="preserve"> ზედმეტად ფართო, წინასწარ </w:t>
      </w:r>
      <w:proofErr w:type="spellStart"/>
      <w:r w:rsidR="00817B64" w:rsidRPr="000C625B">
        <w:rPr>
          <w:rFonts w:ascii="Sylfaen" w:hAnsi="Sylfaen" w:cs="Calibri"/>
          <w:sz w:val="24"/>
          <w:szCs w:val="24"/>
        </w:rPr>
        <w:t>განუჭვრეტადი</w:t>
      </w:r>
      <w:proofErr w:type="spellEnd"/>
      <w:r w:rsidR="00817B64" w:rsidRPr="000C625B">
        <w:rPr>
          <w:rFonts w:ascii="Sylfaen" w:hAnsi="Sylfaen" w:cs="Calibri"/>
          <w:sz w:val="24"/>
          <w:szCs w:val="24"/>
        </w:rPr>
        <w:t xml:space="preserve"> განმარტების შედეგს.</w:t>
      </w:r>
    </w:p>
    <w:p w14:paraId="20C73813" w14:textId="77777777" w:rsidR="00617D79" w:rsidRPr="000C625B" w:rsidRDefault="00617D79" w:rsidP="00617D79">
      <w:pPr>
        <w:pStyle w:val="ListParagraph"/>
        <w:numPr>
          <w:ilvl w:val="0"/>
          <w:numId w:val="2"/>
        </w:numPr>
        <w:spacing w:after="0"/>
        <w:ind w:left="0" w:firstLine="284"/>
        <w:jc w:val="both"/>
        <w:rPr>
          <w:rFonts w:ascii="Sylfaen" w:hAnsi="Sylfaen" w:cs="Calibri"/>
          <w:sz w:val="24"/>
          <w:szCs w:val="24"/>
        </w:rPr>
      </w:pPr>
      <w:r w:rsidRPr="000C625B">
        <w:rPr>
          <w:rFonts w:ascii="Sylfaen" w:hAnsi="Sylfaen" w:cs="Calibri"/>
          <w:sz w:val="24"/>
          <w:szCs w:val="24"/>
        </w:rPr>
        <w:lastRenderedPageBreak/>
        <w:t xml:space="preserve">მოსარჩელის მიმართ წარმოებულ სისხლის სამართლის საქმეში ექსპერტიზამ დაადგინა, რომ მოსარჩელის სახლიდან ამოღებული 23 ცალი ვაზნა იყო ქარხნული წესით დამზადებული, 1943 წლის ნიმუშის 7.62 </w:t>
      </w:r>
      <w:proofErr w:type="spellStart"/>
      <w:r w:rsidRPr="000C625B">
        <w:rPr>
          <w:rFonts w:ascii="Sylfaen" w:hAnsi="Sylfaen" w:cs="Calibri"/>
          <w:sz w:val="24"/>
          <w:szCs w:val="24"/>
        </w:rPr>
        <w:t>მმ</w:t>
      </w:r>
      <w:proofErr w:type="spellEnd"/>
      <w:r w:rsidRPr="000C625B">
        <w:rPr>
          <w:rFonts w:ascii="Sylfaen" w:hAnsi="Sylfaen" w:cs="Calibri"/>
          <w:sz w:val="24"/>
          <w:szCs w:val="24"/>
        </w:rPr>
        <w:t xml:space="preserve"> კალიბრის სამხედრო დანიშნულების ვაზნა, რომლებიც განკუთვნილი იყო 7.62 </w:t>
      </w:r>
      <w:proofErr w:type="spellStart"/>
      <w:r w:rsidRPr="000C625B">
        <w:rPr>
          <w:rFonts w:ascii="Sylfaen" w:hAnsi="Sylfaen" w:cs="Calibri"/>
          <w:sz w:val="24"/>
          <w:szCs w:val="24"/>
        </w:rPr>
        <w:t>მმ</w:t>
      </w:r>
      <w:proofErr w:type="spellEnd"/>
      <w:r w:rsidRPr="000C625B">
        <w:rPr>
          <w:rFonts w:ascii="Sylfaen" w:hAnsi="Sylfaen" w:cs="Calibri"/>
          <w:sz w:val="24"/>
          <w:szCs w:val="24"/>
        </w:rPr>
        <w:t xml:space="preserve"> კალიბრის კალაშნიკოვის კონსტრუქციის ავტომატებისათვის და არა მოსარჩელის საკუთრებაში არსებული სანადირო დანიშნულების იარაღისათვის, მიუხედავად იმისა, რომ კალიბრის შესაბამისობის გამო შესაძლებელი იყო ამ იარაღიდან ამოღებული ვაზნების გასროლა.</w:t>
      </w:r>
    </w:p>
    <w:p w14:paraId="15BEFB89" w14:textId="3CEB5A88" w:rsidR="00617D79" w:rsidRPr="000C625B" w:rsidRDefault="00617D79" w:rsidP="00617D79">
      <w:pPr>
        <w:pStyle w:val="ListParagraph"/>
        <w:numPr>
          <w:ilvl w:val="0"/>
          <w:numId w:val="2"/>
        </w:numPr>
        <w:spacing w:after="0"/>
        <w:ind w:left="0" w:firstLine="284"/>
        <w:jc w:val="both"/>
        <w:rPr>
          <w:rFonts w:ascii="Sylfaen" w:hAnsi="Sylfaen" w:cs="Calibri"/>
          <w:sz w:val="24"/>
          <w:szCs w:val="24"/>
        </w:rPr>
      </w:pPr>
      <w:r w:rsidRPr="000C625B">
        <w:rPr>
          <w:rFonts w:ascii="Sylfaen" w:hAnsi="Sylfaen" w:cs="Calibri"/>
          <w:sz w:val="24"/>
          <w:szCs w:val="24"/>
        </w:rPr>
        <w:t>„იარაღის შესახებ“ საქართველოს კანონის მე-11 მუხლის პირველი პუნქტის თანახმად, სამხედრო-საბრძოლო იარაღი არის იარაღი, რომელიც განკუთვნილია საქართველოს თავდაცვის სამინისტროს, საქართველოს შინაგან საქმეთა სამინისტროს, საქართველოს იუსტიციის სამინისტროს, საქართველოს სახელმწიფო უსაფრთხოების სამსახურის, სპეციალური საგამოძიებო სამსახურის, საქართველოს დაზვერვის სამსახურის, სახელმწიფო დაცვის სპეციალური სამსახურისა და საქართველოს ფინანსთა სამინისტროს შესაბამისი სამსახურის მოსამსახურეების მიერ სახელმწიფო თავდაცვისა და უსაფრთხოების უზრუნველსაყოფად, აგრეთვე</w:t>
      </w:r>
      <w:r w:rsidR="00393942" w:rsidRPr="000C625B">
        <w:rPr>
          <w:rFonts w:ascii="Sylfaen" w:hAnsi="Sylfaen" w:cs="Calibri"/>
          <w:sz w:val="24"/>
          <w:szCs w:val="24"/>
        </w:rPr>
        <w:t>,</w:t>
      </w:r>
      <w:r w:rsidRPr="000C625B">
        <w:rPr>
          <w:rFonts w:ascii="Sylfaen" w:hAnsi="Sylfaen" w:cs="Calibri"/>
          <w:sz w:val="24"/>
          <w:szCs w:val="24"/>
        </w:rPr>
        <w:t xml:space="preserve"> საზოგადოებრივი უსაფრთხოების, საზოგადოებრივი მართლწესრიგისა და საქართველოს სახელმწიფო საზღვრის დასაცავად, საბრძოლო და ოპერატიულ-სამძებრო მიზნების განსახორციელებლად. ამავე მუხლის მე-4 პუნქტის თანახმად კი, სამხედრო-საბრძოლო იარაღი</w:t>
      </w:r>
      <w:r w:rsidR="00393942" w:rsidRPr="000C625B">
        <w:rPr>
          <w:rFonts w:ascii="Sylfaen" w:hAnsi="Sylfaen" w:cs="Calibri"/>
          <w:sz w:val="24"/>
          <w:szCs w:val="24"/>
        </w:rPr>
        <w:t>,</w:t>
      </w:r>
      <w:r w:rsidRPr="000C625B">
        <w:rPr>
          <w:rFonts w:ascii="Sylfaen" w:hAnsi="Sylfaen" w:cs="Calibri"/>
          <w:sz w:val="24"/>
          <w:szCs w:val="24"/>
        </w:rPr>
        <w:t xml:space="preserve"> ასევე</w:t>
      </w:r>
      <w:r w:rsidR="00393942" w:rsidRPr="000C625B">
        <w:rPr>
          <w:rFonts w:ascii="Sylfaen" w:hAnsi="Sylfaen" w:cs="Calibri"/>
          <w:sz w:val="24"/>
          <w:szCs w:val="24"/>
        </w:rPr>
        <w:t>,</w:t>
      </w:r>
      <w:r w:rsidRPr="000C625B">
        <w:rPr>
          <w:rFonts w:ascii="Sylfaen" w:hAnsi="Sylfaen" w:cs="Calibri"/>
          <w:sz w:val="24"/>
          <w:szCs w:val="24"/>
        </w:rPr>
        <w:t xml:space="preserve"> მოიცავს საბრძოლო მასალას (მათ შორის, ვაზნებს). სამხედრო-საბრძოლო იარაღის აღრიცხვის, გაცემის, გადაადგილების, გამოყენებისა და ამ იარაღთან მოპყრობის სხვა საკითხები მკაცრად რეგულირდება და ეს რეგულირება სრულიად განსხვავებულია სამოქალაქო დანიშნულების იარაღის, მათ შორის, სანადირო იარაღთან დაკავშირებული საკითხების რეგულირებისაგან. სამხედრო-საბრძოლო იარაღი, სამოქალაქო ტიპის იარაღისაგან განსხვავებით, საერთოდ არ არის ჩაშვებული სამოქალაქო ბრუნვაში და მათი კანონიერად ფლობის უფლება მხოლოდ კანონით სპეციალურად გათვალისწინებულ, ზემოაღნიშნულ სამხედრო და მათთან გათანაბრებულ მოსამსახურეებს გააჩნიათ. სწორედ განსხვავებული რეგულირების გამოძახილია, მათ შორის, ისიც, რომ „ლიცენზიებისა და ნებართვების შესახებ“ საქართველოს კანონი იცნობს სამოქალაქო იარაღის შეძენისა და შენახვის ნებართვას, თუმცა არაფერს ამბობს სამხედრო-საბრძოლო იარაღის შეძენის ნებართვის მოპოვებაზე. </w:t>
      </w:r>
    </w:p>
    <w:p w14:paraId="5AC466F2" w14:textId="77777777" w:rsidR="00CE0462" w:rsidRPr="000C625B" w:rsidRDefault="00617D79" w:rsidP="00D17D64">
      <w:pPr>
        <w:pStyle w:val="ListParagraph"/>
        <w:numPr>
          <w:ilvl w:val="0"/>
          <w:numId w:val="2"/>
        </w:numPr>
        <w:spacing w:after="0"/>
        <w:ind w:left="0" w:firstLine="284"/>
        <w:jc w:val="both"/>
        <w:rPr>
          <w:rFonts w:ascii="Sylfaen" w:hAnsi="Sylfaen" w:cs="Calibri"/>
          <w:sz w:val="24"/>
          <w:szCs w:val="24"/>
        </w:rPr>
      </w:pPr>
      <w:r w:rsidRPr="000C625B">
        <w:rPr>
          <w:rFonts w:ascii="Sylfaen" w:hAnsi="Sylfaen" w:cs="Calibri"/>
          <w:sz w:val="24"/>
          <w:szCs w:val="24"/>
        </w:rPr>
        <w:t xml:space="preserve">აღნიშნულიდან გამომდინარე, „იარაღის შესახებ“ საქართველოს კანონის სისტემური ანალიზი გამორიცხავს ამავე კანონის </w:t>
      </w:r>
      <w:r w:rsidRPr="000C625B">
        <w:rPr>
          <w:rFonts w:ascii="Sylfaen" w:hAnsi="Sylfaen"/>
          <w:sz w:val="24"/>
          <w:szCs w:val="24"/>
        </w:rPr>
        <w:t>მე-19 მუხლის მე-2 პუნქტის „ბ“ ქვეპუნქტის იმგვარ განმარტებას, რომელიც სამხედრო დანიშნულების ვაზნას (საბრძოლო მასალას) მიიჩნევდა სამოქალაქო დანიშნულების სანადირო იარაღიდან გასროლისთვის განკუთვნილ საბრძოლო მასალად და</w:t>
      </w:r>
      <w:r w:rsidR="0079663B">
        <w:rPr>
          <w:rFonts w:ascii="Sylfaen" w:hAnsi="Sylfaen"/>
          <w:sz w:val="24"/>
          <w:szCs w:val="24"/>
        </w:rPr>
        <w:t>,</w:t>
      </w:r>
      <w:r w:rsidRPr="000C625B">
        <w:rPr>
          <w:rFonts w:ascii="Sylfaen" w:hAnsi="Sylfaen"/>
          <w:sz w:val="24"/>
          <w:szCs w:val="24"/>
        </w:rPr>
        <w:t xml:space="preserve"> შესაბამისად</w:t>
      </w:r>
      <w:r w:rsidR="00393942" w:rsidRPr="000C625B">
        <w:rPr>
          <w:rFonts w:ascii="Sylfaen" w:hAnsi="Sylfaen"/>
          <w:sz w:val="24"/>
          <w:szCs w:val="24"/>
        </w:rPr>
        <w:t xml:space="preserve">, </w:t>
      </w:r>
      <w:r w:rsidRPr="000C625B">
        <w:rPr>
          <w:rFonts w:ascii="Sylfaen" w:hAnsi="Sylfaen"/>
          <w:sz w:val="24"/>
          <w:szCs w:val="24"/>
        </w:rPr>
        <w:lastRenderedPageBreak/>
        <w:t>კანონიერად აქცევდა პირის მიერ სამხედრო დანიშნულების ვაზნის შეძენა-შენახვას მხოლოდ იმ გარემოებაზე დაყრდნობით, რომ ამ პირს კანონიერ მფლობელობაში აქვს აღნიშნული კალიბრის ვაზნების გასროლისთვის გამოსადეგი სამოქალაქო ტიპის სანადირო იარაღი.</w:t>
      </w:r>
      <w:r w:rsidR="00CC1F2E" w:rsidRPr="000C625B">
        <w:rPr>
          <w:rFonts w:ascii="Sylfaen" w:hAnsi="Sylfaen"/>
          <w:sz w:val="24"/>
          <w:szCs w:val="24"/>
        </w:rPr>
        <w:t xml:space="preserve"> </w:t>
      </w:r>
    </w:p>
    <w:p w14:paraId="3BAE4A40" w14:textId="77777777" w:rsidR="00617D79" w:rsidRPr="000C625B" w:rsidRDefault="00BA10AD" w:rsidP="00D17D64">
      <w:pPr>
        <w:pStyle w:val="ListParagraph"/>
        <w:numPr>
          <w:ilvl w:val="0"/>
          <w:numId w:val="2"/>
        </w:numPr>
        <w:spacing w:after="0"/>
        <w:ind w:left="0" w:firstLine="284"/>
        <w:jc w:val="both"/>
        <w:rPr>
          <w:rFonts w:ascii="Sylfaen" w:hAnsi="Sylfaen" w:cs="Calibri"/>
          <w:sz w:val="24"/>
          <w:szCs w:val="24"/>
        </w:rPr>
      </w:pPr>
      <w:r w:rsidRPr="000C625B">
        <w:rPr>
          <w:rFonts w:ascii="Sylfaen" w:hAnsi="Sylfaen"/>
          <w:sz w:val="24"/>
          <w:szCs w:val="24"/>
        </w:rPr>
        <w:t>მაშასადამე</w:t>
      </w:r>
      <w:r w:rsidR="00CE0462" w:rsidRPr="000C625B">
        <w:rPr>
          <w:rFonts w:ascii="Sylfaen" w:hAnsi="Sylfaen"/>
          <w:sz w:val="24"/>
          <w:szCs w:val="24"/>
        </w:rPr>
        <w:t>, იმ შემთხვევაშიც კი</w:t>
      </w:r>
      <w:r w:rsidR="00393942" w:rsidRPr="000C625B">
        <w:rPr>
          <w:rFonts w:ascii="Sylfaen" w:hAnsi="Sylfaen"/>
          <w:sz w:val="24"/>
          <w:szCs w:val="24"/>
        </w:rPr>
        <w:t>,</w:t>
      </w:r>
      <w:r w:rsidR="00CE0462" w:rsidRPr="000C625B">
        <w:rPr>
          <w:rFonts w:ascii="Sylfaen" w:hAnsi="Sylfaen"/>
          <w:sz w:val="24"/>
          <w:szCs w:val="24"/>
        </w:rPr>
        <w:t xml:space="preserve"> თუ აღმოჩნდება, რომ საერთო სასამართლოების პრაქტიკა მოსარჩელის მიერ დანაშაულად შერაცხული ქმედების ჩადენისას არ იყო მყარად ჩამოყალიბებული, სადავო ნორმის </w:t>
      </w:r>
      <w:r w:rsidR="00AC3476" w:rsidRPr="000C625B">
        <w:rPr>
          <w:rFonts w:ascii="Sylfaen" w:hAnsi="Sylfaen"/>
          <w:sz w:val="24"/>
          <w:szCs w:val="24"/>
        </w:rPr>
        <w:t>საერთო სასამართლოს მიერ</w:t>
      </w:r>
      <w:r w:rsidR="00CE0462" w:rsidRPr="000C625B">
        <w:rPr>
          <w:rFonts w:ascii="Sylfaen" w:hAnsi="Sylfaen"/>
          <w:sz w:val="24"/>
          <w:szCs w:val="24"/>
        </w:rPr>
        <w:t xml:space="preserve"> იდენტიფიცირებული შინაარსით გამოყენება</w:t>
      </w:r>
      <w:r w:rsidR="00AC3476" w:rsidRPr="000C625B">
        <w:rPr>
          <w:rFonts w:ascii="Sylfaen" w:hAnsi="Sylfaen"/>
          <w:sz w:val="24"/>
          <w:szCs w:val="24"/>
        </w:rPr>
        <w:t>, რომელზეც აპელირებს მოსარჩელე მხარე,</w:t>
      </w:r>
      <w:r w:rsidR="00CE0462" w:rsidRPr="000C625B">
        <w:rPr>
          <w:rFonts w:ascii="Sylfaen" w:hAnsi="Sylfaen"/>
          <w:sz w:val="24"/>
          <w:szCs w:val="24"/>
        </w:rPr>
        <w:t xml:space="preserve"> წარმო</w:t>
      </w:r>
      <w:r w:rsidR="00EF086D" w:rsidRPr="000C625B">
        <w:rPr>
          <w:rFonts w:ascii="Sylfaen" w:hAnsi="Sylfaen"/>
          <w:sz w:val="24"/>
          <w:szCs w:val="24"/>
        </w:rPr>
        <w:t>ა</w:t>
      </w:r>
      <w:r w:rsidR="00CE0462" w:rsidRPr="000C625B">
        <w:rPr>
          <w:rFonts w:ascii="Sylfaen" w:hAnsi="Sylfaen"/>
          <w:sz w:val="24"/>
          <w:szCs w:val="24"/>
        </w:rPr>
        <w:t>დგენს კანონის სისტემური განმარტების გონივრულ შედეგს. შესაბამისად, არ არსებობს გონივრული ალბათობა იმისა, რომ საქმის არსებითი განხილ</w:t>
      </w:r>
      <w:r w:rsidR="0053670F" w:rsidRPr="000C625B">
        <w:rPr>
          <w:rFonts w:ascii="Sylfaen" w:hAnsi="Sylfaen"/>
          <w:sz w:val="24"/>
          <w:szCs w:val="24"/>
        </w:rPr>
        <w:t>ვ</w:t>
      </w:r>
      <w:r w:rsidR="00CE0462" w:rsidRPr="000C625B">
        <w:rPr>
          <w:rFonts w:ascii="Sylfaen" w:hAnsi="Sylfaen"/>
          <w:sz w:val="24"/>
          <w:szCs w:val="24"/>
        </w:rPr>
        <w:t>ის შედეგად</w:t>
      </w:r>
      <w:r w:rsidR="0079663B">
        <w:rPr>
          <w:rFonts w:ascii="Sylfaen" w:hAnsi="Sylfaen"/>
          <w:sz w:val="24"/>
          <w:szCs w:val="24"/>
        </w:rPr>
        <w:t>,</w:t>
      </w:r>
      <w:r w:rsidR="00CE0462" w:rsidRPr="000C625B">
        <w:rPr>
          <w:rFonts w:ascii="Sylfaen" w:hAnsi="Sylfaen"/>
          <w:sz w:val="24"/>
          <w:szCs w:val="24"/>
        </w:rPr>
        <w:t xml:space="preserve"> საკონ</w:t>
      </w:r>
      <w:r w:rsidR="0053670F" w:rsidRPr="000C625B">
        <w:rPr>
          <w:rFonts w:ascii="Sylfaen" w:hAnsi="Sylfaen"/>
          <w:sz w:val="24"/>
          <w:szCs w:val="24"/>
        </w:rPr>
        <w:t>ს</w:t>
      </w:r>
      <w:r w:rsidR="00CE0462" w:rsidRPr="000C625B">
        <w:rPr>
          <w:rFonts w:ascii="Sylfaen" w:hAnsi="Sylfaen"/>
          <w:sz w:val="24"/>
          <w:szCs w:val="24"/>
        </w:rPr>
        <w:t>ტიტუციო სასამ</w:t>
      </w:r>
      <w:r w:rsidR="00334FB3" w:rsidRPr="000C625B">
        <w:rPr>
          <w:rFonts w:ascii="Sylfaen" w:hAnsi="Sylfaen"/>
          <w:sz w:val="24"/>
          <w:szCs w:val="24"/>
        </w:rPr>
        <w:t>ა</w:t>
      </w:r>
      <w:r w:rsidR="00CE0462" w:rsidRPr="000C625B">
        <w:rPr>
          <w:rFonts w:ascii="Sylfaen" w:hAnsi="Sylfaen"/>
          <w:sz w:val="24"/>
          <w:szCs w:val="24"/>
        </w:rPr>
        <w:t>რთლო</w:t>
      </w:r>
      <w:r w:rsidR="00334FB3" w:rsidRPr="000C625B">
        <w:rPr>
          <w:rFonts w:ascii="Sylfaen" w:hAnsi="Sylfaen"/>
          <w:sz w:val="24"/>
          <w:szCs w:val="24"/>
        </w:rPr>
        <w:t xml:space="preserve"> შესაძლოა</w:t>
      </w:r>
      <w:r w:rsidR="0079663B">
        <w:rPr>
          <w:rFonts w:ascii="Sylfaen" w:hAnsi="Sylfaen"/>
          <w:sz w:val="24"/>
          <w:szCs w:val="24"/>
        </w:rPr>
        <w:t>,</w:t>
      </w:r>
      <w:r w:rsidR="00CE0462" w:rsidRPr="000C625B">
        <w:rPr>
          <w:rFonts w:ascii="Sylfaen" w:hAnsi="Sylfaen"/>
          <w:sz w:val="24"/>
          <w:szCs w:val="24"/>
        </w:rPr>
        <w:t xml:space="preserve"> მივიდეს </w:t>
      </w:r>
      <w:r w:rsidR="00331FDB" w:rsidRPr="000C625B">
        <w:rPr>
          <w:rFonts w:ascii="Sylfaen" w:hAnsi="Sylfaen"/>
          <w:sz w:val="24"/>
          <w:szCs w:val="24"/>
        </w:rPr>
        <w:t xml:space="preserve">საერთო სასამართლოს მხრიდან, </w:t>
      </w:r>
      <w:r w:rsidR="00CE0462" w:rsidRPr="000C625B">
        <w:rPr>
          <w:rFonts w:ascii="Sylfaen" w:hAnsi="Sylfaen"/>
          <w:sz w:val="24"/>
          <w:szCs w:val="24"/>
        </w:rPr>
        <w:t>მოსარჩელის მიმართ</w:t>
      </w:r>
      <w:r w:rsidR="00331FDB" w:rsidRPr="000C625B">
        <w:rPr>
          <w:rFonts w:ascii="Sylfaen" w:hAnsi="Sylfaen"/>
          <w:sz w:val="24"/>
          <w:szCs w:val="24"/>
        </w:rPr>
        <w:t>,</w:t>
      </w:r>
      <w:r w:rsidR="00CE0462" w:rsidRPr="000C625B">
        <w:rPr>
          <w:rFonts w:ascii="Sylfaen" w:hAnsi="Sylfaen"/>
          <w:sz w:val="24"/>
          <w:szCs w:val="24"/>
        </w:rPr>
        <w:t xml:space="preserve"> სადავო </w:t>
      </w:r>
      <w:r w:rsidR="00334FB3" w:rsidRPr="000C625B">
        <w:rPr>
          <w:rFonts w:ascii="Sylfaen" w:hAnsi="Sylfaen"/>
          <w:sz w:val="24"/>
          <w:szCs w:val="24"/>
        </w:rPr>
        <w:t xml:space="preserve">ნორმის </w:t>
      </w:r>
      <w:r w:rsidR="00CE0462" w:rsidRPr="000C625B">
        <w:rPr>
          <w:rFonts w:ascii="Sylfaen" w:hAnsi="Sylfaen"/>
          <w:sz w:val="24"/>
          <w:szCs w:val="24"/>
        </w:rPr>
        <w:t xml:space="preserve">ზედმეტად ფართო, </w:t>
      </w:r>
      <w:r w:rsidR="00CE0462" w:rsidRPr="000C625B">
        <w:rPr>
          <w:rFonts w:ascii="Sylfaen" w:hAnsi="Sylfaen" w:cs="Calibri"/>
          <w:sz w:val="24"/>
          <w:szCs w:val="24"/>
        </w:rPr>
        <w:t xml:space="preserve">წინასწარ </w:t>
      </w:r>
      <w:proofErr w:type="spellStart"/>
      <w:r w:rsidR="00CE0462" w:rsidRPr="000C625B">
        <w:rPr>
          <w:rFonts w:ascii="Sylfaen" w:hAnsi="Sylfaen" w:cs="Calibri"/>
          <w:sz w:val="24"/>
          <w:szCs w:val="24"/>
        </w:rPr>
        <w:t>განუჭვრეტადი</w:t>
      </w:r>
      <w:proofErr w:type="spellEnd"/>
      <w:r w:rsidR="00CE0462" w:rsidRPr="000C625B">
        <w:rPr>
          <w:rFonts w:ascii="Sylfaen" w:hAnsi="Sylfaen" w:cs="Calibri"/>
          <w:sz w:val="24"/>
          <w:szCs w:val="24"/>
        </w:rPr>
        <w:t xml:space="preserve"> შინაარსით გამოყენების </w:t>
      </w:r>
      <w:r w:rsidR="0053670F" w:rsidRPr="000C625B">
        <w:rPr>
          <w:rFonts w:ascii="Sylfaen" w:hAnsi="Sylfaen" w:cs="Calibri"/>
          <w:sz w:val="24"/>
          <w:szCs w:val="24"/>
        </w:rPr>
        <w:t>ფაქტის დადგენამდე. ამდენად, სახეზე არ არის საკონსტიტუციო სასამართლ</w:t>
      </w:r>
      <w:r w:rsidR="00EF086D" w:rsidRPr="000C625B">
        <w:rPr>
          <w:rFonts w:ascii="Sylfaen" w:hAnsi="Sylfaen" w:cs="Calibri"/>
          <w:sz w:val="24"/>
          <w:szCs w:val="24"/>
        </w:rPr>
        <w:t>ო</w:t>
      </w:r>
      <w:r w:rsidR="0053670F" w:rsidRPr="000C625B">
        <w:rPr>
          <w:rFonts w:ascii="Sylfaen" w:hAnsi="Sylfaen" w:cs="Calibri"/>
          <w:sz w:val="24"/>
          <w:szCs w:val="24"/>
        </w:rPr>
        <w:t xml:space="preserve">ს №2/1/1289 გადაწყვეტილებით დადგენილი რომელიმე გარემოება, რომელიც სადავო ნორმების </w:t>
      </w:r>
      <w:proofErr w:type="spellStart"/>
      <w:r w:rsidR="0053670F" w:rsidRPr="000C625B">
        <w:rPr>
          <w:rFonts w:ascii="Sylfaen" w:hAnsi="Sylfaen" w:cs="Calibri"/>
          <w:sz w:val="24"/>
          <w:szCs w:val="24"/>
        </w:rPr>
        <w:t>განჭვრეტადობის</w:t>
      </w:r>
      <w:proofErr w:type="spellEnd"/>
      <w:r w:rsidR="0053670F" w:rsidRPr="000C625B">
        <w:rPr>
          <w:rFonts w:ascii="Sylfaen" w:hAnsi="Sylfaen" w:cs="Calibri"/>
          <w:sz w:val="24"/>
          <w:szCs w:val="24"/>
        </w:rPr>
        <w:t xml:space="preserve"> პრინციპთან შესაბამისობის კითხვის ნიშნე</w:t>
      </w:r>
      <w:r w:rsidR="00EF086D" w:rsidRPr="000C625B">
        <w:rPr>
          <w:rFonts w:ascii="Sylfaen" w:hAnsi="Sylfaen" w:cs="Calibri"/>
          <w:sz w:val="24"/>
          <w:szCs w:val="24"/>
        </w:rPr>
        <w:t>ბ</w:t>
      </w:r>
      <w:r w:rsidR="0053670F" w:rsidRPr="000C625B">
        <w:rPr>
          <w:rFonts w:ascii="Sylfaen" w:hAnsi="Sylfaen" w:cs="Calibri"/>
          <w:sz w:val="24"/>
          <w:szCs w:val="24"/>
        </w:rPr>
        <w:t xml:space="preserve">ს გააჩენდა (იხ. </w:t>
      </w:r>
      <w:proofErr w:type="spellStart"/>
      <w:r w:rsidR="0053670F" w:rsidRPr="000C625B">
        <w:rPr>
          <w:rFonts w:ascii="Sylfaen" w:hAnsi="Sylfaen" w:cs="Calibri"/>
          <w:sz w:val="24"/>
          <w:szCs w:val="24"/>
        </w:rPr>
        <w:t>სამოტივაციო</w:t>
      </w:r>
      <w:proofErr w:type="spellEnd"/>
      <w:r w:rsidR="0053670F" w:rsidRPr="000C625B">
        <w:rPr>
          <w:rFonts w:ascii="Sylfaen" w:hAnsi="Sylfaen" w:cs="Calibri"/>
          <w:sz w:val="24"/>
          <w:szCs w:val="24"/>
        </w:rPr>
        <w:t xml:space="preserve"> ნაწილის მე-8 პარაგრაფი)</w:t>
      </w:r>
      <w:r w:rsidR="00EF086D" w:rsidRPr="000C625B">
        <w:rPr>
          <w:rFonts w:ascii="Sylfaen" w:hAnsi="Sylfaen" w:cs="Calibri"/>
          <w:sz w:val="24"/>
          <w:szCs w:val="24"/>
        </w:rPr>
        <w:t>.</w:t>
      </w:r>
    </w:p>
    <w:p w14:paraId="28634827" w14:textId="77777777" w:rsidR="00A46279" w:rsidRPr="000C625B" w:rsidRDefault="00C23E85" w:rsidP="00253371">
      <w:pPr>
        <w:pStyle w:val="ListParagraph"/>
        <w:numPr>
          <w:ilvl w:val="0"/>
          <w:numId w:val="2"/>
        </w:numPr>
        <w:spacing w:after="0"/>
        <w:ind w:left="0" w:firstLine="284"/>
        <w:jc w:val="both"/>
        <w:rPr>
          <w:rFonts w:ascii="Sylfaen" w:hAnsi="Sylfaen"/>
          <w:sz w:val="24"/>
          <w:szCs w:val="24"/>
        </w:rPr>
      </w:pPr>
      <w:r w:rsidRPr="000C625B">
        <w:rPr>
          <w:rFonts w:ascii="Sylfaen" w:hAnsi="Sylfaen"/>
          <w:sz w:val="24"/>
          <w:szCs w:val="24"/>
        </w:rPr>
        <w:t>ყოველივე ზემოაღნიშნულიდან გამომდინარე</w:t>
      </w:r>
      <w:r w:rsidR="008106B5" w:rsidRPr="000C625B">
        <w:rPr>
          <w:rFonts w:ascii="Sylfaen" w:hAnsi="Sylfaen"/>
          <w:sz w:val="24"/>
          <w:szCs w:val="24"/>
        </w:rPr>
        <w:t xml:space="preserve">, </w:t>
      </w:r>
      <w:r w:rsidR="00DD353B" w:rsidRPr="000C625B">
        <w:rPr>
          <w:rFonts w:ascii="Sylfaen" w:hAnsi="Sylfaen"/>
          <w:sz w:val="24"/>
          <w:szCs w:val="24"/>
        </w:rPr>
        <w:t xml:space="preserve">საქართველოს საკონსტიტუციო სასამართლო </w:t>
      </w:r>
      <w:r w:rsidR="004F4151" w:rsidRPr="000C625B">
        <w:rPr>
          <w:rFonts w:ascii="Sylfaen" w:hAnsi="Sylfaen"/>
          <w:sz w:val="24"/>
          <w:szCs w:val="24"/>
        </w:rPr>
        <w:t>ადგენს</w:t>
      </w:r>
      <w:r w:rsidR="00DD353B" w:rsidRPr="000C625B">
        <w:rPr>
          <w:rFonts w:ascii="Sylfaen" w:hAnsi="Sylfaen"/>
          <w:sz w:val="24"/>
          <w:szCs w:val="24"/>
        </w:rPr>
        <w:t xml:space="preserve">, რომ </w:t>
      </w:r>
      <w:r w:rsidR="00391985" w:rsidRPr="000C625B">
        <w:rPr>
          <w:rFonts w:ascii="Sylfaen" w:hAnsi="Sylfaen" w:cs="AcadNusx"/>
          <w:bCs/>
          <w:sz w:val="24"/>
          <w:szCs w:val="24"/>
        </w:rPr>
        <w:t>№1474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391985" w:rsidRPr="000C625B">
        <w:rPr>
          <w:rFonts w:ascii="Sylfaen" w:hAnsi="Sylfaen" w:cs="AcadNusx"/>
          <w:bCs/>
          <w:sz w:val="24"/>
          <w:szCs w:val="24"/>
          <w:vertAlign w:val="superscript"/>
        </w:rPr>
        <w:t>1</w:t>
      </w:r>
      <w:r w:rsidR="00391985" w:rsidRPr="000C625B">
        <w:rPr>
          <w:rFonts w:ascii="Sylfaen" w:hAnsi="Sylfaen" w:cs="AcadNusx"/>
          <w:bCs/>
          <w:sz w:val="24"/>
          <w:szCs w:val="24"/>
        </w:rPr>
        <w:t xml:space="preserve"> მუხლის პირველი პუნქტის „ე“ ქვეპუნქტით და 31</w:t>
      </w:r>
      <w:r w:rsidR="00391985" w:rsidRPr="000C625B">
        <w:rPr>
          <w:rFonts w:ascii="Sylfaen" w:hAnsi="Sylfaen" w:cs="AcadNusx"/>
          <w:bCs/>
          <w:sz w:val="24"/>
          <w:szCs w:val="24"/>
          <w:vertAlign w:val="superscript"/>
        </w:rPr>
        <w:t>3</w:t>
      </w:r>
      <w:r w:rsidR="00391985" w:rsidRPr="000C625B">
        <w:rPr>
          <w:rFonts w:ascii="Sylfaen" w:hAnsi="Sylfaen" w:cs="AcadNusx"/>
          <w:bCs/>
          <w:sz w:val="24"/>
          <w:szCs w:val="24"/>
        </w:rPr>
        <w:t xml:space="preserve"> მუხლის პირველი პუნქტის „ა“ ქვეპუნქტით გათვალისწინებული საფუძველი.</w:t>
      </w:r>
    </w:p>
    <w:p w14:paraId="03D3BDEA" w14:textId="77777777" w:rsidR="00944EB0" w:rsidRPr="000C625B" w:rsidRDefault="00944EB0" w:rsidP="00253371">
      <w:pPr>
        <w:pStyle w:val="ListParagraph"/>
        <w:spacing w:after="0"/>
        <w:ind w:left="0"/>
        <w:jc w:val="both"/>
        <w:rPr>
          <w:rFonts w:ascii="Sylfaen" w:hAnsi="Sylfaen"/>
          <w:sz w:val="24"/>
          <w:szCs w:val="24"/>
        </w:rPr>
      </w:pPr>
    </w:p>
    <w:p w14:paraId="6D2960E5" w14:textId="77777777" w:rsidR="00944EB0" w:rsidRPr="000C625B" w:rsidRDefault="00944EB0" w:rsidP="00253371">
      <w:pPr>
        <w:pStyle w:val="ListParagraph"/>
        <w:spacing w:after="0"/>
        <w:ind w:left="0"/>
        <w:jc w:val="both"/>
        <w:rPr>
          <w:rFonts w:ascii="Sylfaen" w:hAnsi="Sylfaen"/>
          <w:sz w:val="24"/>
          <w:szCs w:val="24"/>
        </w:rPr>
      </w:pPr>
    </w:p>
    <w:p w14:paraId="67771572" w14:textId="77777777" w:rsidR="00F9687F" w:rsidRPr="000C625B" w:rsidRDefault="00F9687F" w:rsidP="00253371">
      <w:pPr>
        <w:pStyle w:val="Heading1"/>
        <w:spacing w:before="0"/>
        <w:rPr>
          <w:szCs w:val="24"/>
          <w:lang w:val="ka-GE"/>
        </w:rPr>
      </w:pPr>
      <w:r w:rsidRPr="000C625B">
        <w:rPr>
          <w:szCs w:val="24"/>
          <w:lang w:val="ka-GE"/>
        </w:rPr>
        <w:t>III</w:t>
      </w:r>
      <w:r w:rsidR="00203748" w:rsidRPr="000C625B">
        <w:rPr>
          <w:szCs w:val="24"/>
          <w:lang w:val="ka-GE"/>
        </w:rPr>
        <w:br/>
      </w:r>
      <w:proofErr w:type="spellStart"/>
      <w:r w:rsidRPr="000C625B">
        <w:rPr>
          <w:szCs w:val="24"/>
          <w:lang w:val="ka-GE"/>
        </w:rPr>
        <w:t>სარეზოლუციო</w:t>
      </w:r>
      <w:proofErr w:type="spellEnd"/>
      <w:r w:rsidRPr="000C625B">
        <w:rPr>
          <w:szCs w:val="24"/>
          <w:lang w:val="ka-GE"/>
        </w:rPr>
        <w:t xml:space="preserve"> ნაწილი</w:t>
      </w:r>
      <w:r w:rsidR="00253371" w:rsidRPr="000C625B">
        <w:rPr>
          <w:szCs w:val="24"/>
          <w:lang w:val="ka-GE"/>
        </w:rPr>
        <w:br/>
      </w:r>
    </w:p>
    <w:p w14:paraId="5E7E91C0" w14:textId="7E9C2DC4" w:rsidR="003343E0" w:rsidRPr="000C625B" w:rsidRDefault="003343E0" w:rsidP="00253371">
      <w:pPr>
        <w:pStyle w:val="BodyText"/>
        <w:spacing w:after="0" w:line="276" w:lineRule="auto"/>
        <w:ind w:firstLine="284"/>
        <w:jc w:val="both"/>
        <w:rPr>
          <w:rFonts w:ascii="Sylfaen" w:hAnsi="Sylfaen" w:cs="Sylfaen"/>
          <w:sz w:val="24"/>
          <w:szCs w:val="24"/>
          <w:lang w:val="ka-GE"/>
        </w:rPr>
      </w:pPr>
      <w:r w:rsidRPr="000C625B">
        <w:rPr>
          <w:rFonts w:ascii="Sylfaen" w:hAnsi="Sylfaen" w:cs="Sylfaen"/>
          <w:sz w:val="24"/>
          <w:szCs w:val="24"/>
          <w:lang w:val="ka-GE"/>
        </w:rPr>
        <w:t>საქართველოს კონსტიტუციის მე-60 მუხლის მე-4 პუნქტის „ა“ ქვეპუნქტის</w:t>
      </w:r>
      <w:r w:rsidR="001658C8" w:rsidRPr="000C625B">
        <w:rPr>
          <w:rFonts w:ascii="Sylfaen" w:hAnsi="Sylfaen" w:cs="Sylfaen"/>
          <w:sz w:val="24"/>
          <w:szCs w:val="24"/>
          <w:lang w:val="ka-GE"/>
        </w:rPr>
        <w:t>,</w:t>
      </w:r>
      <w:r w:rsidRPr="000C625B">
        <w:rPr>
          <w:rFonts w:ascii="Sylfaen" w:hAnsi="Sylfaen" w:cs="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0C625B">
        <w:rPr>
          <w:rFonts w:ascii="Sylfaen" w:hAnsi="Sylfaen" w:cs="Sylfaen"/>
          <w:sz w:val="24"/>
          <w:szCs w:val="24"/>
          <w:vertAlign w:val="superscript"/>
          <w:lang w:val="ka-GE"/>
        </w:rPr>
        <w:t>1</w:t>
      </w:r>
      <w:r w:rsidRPr="000C625B">
        <w:rPr>
          <w:rFonts w:ascii="Sylfaen" w:hAnsi="Sylfaen" w:cs="Sylfaen"/>
          <w:sz w:val="24"/>
          <w:szCs w:val="24"/>
          <w:lang w:val="ka-GE"/>
        </w:rPr>
        <w:t xml:space="preserve"> მუხლის მე-2 პუნქტის, 31-ე მუხლის, 31</w:t>
      </w:r>
      <w:r w:rsidRPr="000C625B">
        <w:rPr>
          <w:rFonts w:ascii="Sylfaen" w:hAnsi="Sylfaen" w:cs="Sylfaen"/>
          <w:sz w:val="24"/>
          <w:szCs w:val="24"/>
          <w:vertAlign w:val="superscript"/>
          <w:lang w:val="ka-GE"/>
        </w:rPr>
        <w:t>1</w:t>
      </w:r>
      <w:r w:rsidRPr="000C625B">
        <w:rPr>
          <w:rFonts w:ascii="Sylfaen" w:hAnsi="Sylfaen" w:cs="Sylfaen"/>
          <w:sz w:val="24"/>
          <w:szCs w:val="24"/>
          <w:lang w:val="ka-GE"/>
        </w:rPr>
        <w:t xml:space="preserve"> მუხლის პირველი</w:t>
      </w:r>
      <w:r w:rsidR="00517B5D" w:rsidRPr="000C625B">
        <w:rPr>
          <w:rFonts w:ascii="Sylfaen" w:hAnsi="Sylfaen" w:cs="Sylfaen"/>
          <w:sz w:val="24"/>
          <w:szCs w:val="24"/>
          <w:lang w:val="ka-GE"/>
        </w:rPr>
        <w:t xml:space="preserve"> და მე-2 პუნქტების</w:t>
      </w:r>
      <w:r w:rsidRPr="000C625B">
        <w:rPr>
          <w:rFonts w:ascii="Sylfaen" w:hAnsi="Sylfaen" w:cs="Sylfaen"/>
          <w:sz w:val="24"/>
          <w:szCs w:val="24"/>
          <w:lang w:val="ka-GE"/>
        </w:rPr>
        <w:t>, 31</w:t>
      </w:r>
      <w:r w:rsidRPr="000C625B">
        <w:rPr>
          <w:rFonts w:ascii="Sylfaen" w:hAnsi="Sylfaen" w:cs="Sylfaen"/>
          <w:sz w:val="24"/>
          <w:szCs w:val="24"/>
          <w:vertAlign w:val="superscript"/>
          <w:lang w:val="ka-GE"/>
        </w:rPr>
        <w:t>2</w:t>
      </w:r>
      <w:r w:rsidRPr="000C625B">
        <w:rPr>
          <w:rFonts w:ascii="Sylfaen" w:hAnsi="Sylfaen" w:cs="Sylfaen"/>
          <w:sz w:val="24"/>
          <w:szCs w:val="24"/>
          <w:lang w:val="ka-GE"/>
        </w:rPr>
        <w:t xml:space="preserve"> მუხლის მე-8 პუნქტის, 31</w:t>
      </w:r>
      <w:r w:rsidRPr="000C625B">
        <w:rPr>
          <w:rFonts w:ascii="Sylfaen" w:hAnsi="Sylfaen" w:cs="Sylfaen"/>
          <w:sz w:val="24"/>
          <w:szCs w:val="24"/>
          <w:vertAlign w:val="superscript"/>
          <w:lang w:val="ka-GE"/>
        </w:rPr>
        <w:t>3</w:t>
      </w:r>
      <w:r w:rsidRPr="000C625B">
        <w:rPr>
          <w:rFonts w:ascii="Sylfaen" w:hAnsi="Sylfaen" w:cs="Sylfaen"/>
          <w:sz w:val="24"/>
          <w:szCs w:val="24"/>
          <w:lang w:val="ka-GE"/>
        </w:rPr>
        <w:t xml:space="preserve"> მუხლის პირველი პუნქტის „ა“ ქვეპუნქტის, 31</w:t>
      </w:r>
      <w:r w:rsidRPr="000C625B">
        <w:rPr>
          <w:rFonts w:ascii="Sylfaen" w:hAnsi="Sylfaen" w:cs="Sylfaen"/>
          <w:sz w:val="24"/>
          <w:szCs w:val="24"/>
          <w:vertAlign w:val="superscript"/>
          <w:lang w:val="ka-GE"/>
        </w:rPr>
        <w:t>5</w:t>
      </w:r>
      <w:r w:rsidRPr="000C625B">
        <w:rPr>
          <w:rFonts w:ascii="Sylfaen" w:hAnsi="Sylfaen" w:cs="Sylfaen"/>
          <w:sz w:val="24"/>
          <w:szCs w:val="24"/>
          <w:lang w:val="ka-GE"/>
        </w:rPr>
        <w:t xml:space="preserve"> მუხლის პირველი, მე-3, მე-4 და მე-7 პუნქტების, 31</w:t>
      </w:r>
      <w:r w:rsidRPr="000C625B">
        <w:rPr>
          <w:rFonts w:ascii="Sylfaen" w:hAnsi="Sylfaen" w:cs="Sylfaen"/>
          <w:sz w:val="24"/>
          <w:szCs w:val="24"/>
          <w:vertAlign w:val="superscript"/>
          <w:lang w:val="ka-GE"/>
        </w:rPr>
        <w:t>6</w:t>
      </w:r>
      <w:r w:rsidRPr="000C625B">
        <w:rPr>
          <w:rFonts w:ascii="Sylfaen" w:hAnsi="Sylfaen" w:cs="Sylfaen"/>
          <w:sz w:val="24"/>
          <w:szCs w:val="24"/>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w:t>
      </w:r>
      <w:r w:rsidR="00B61D0F">
        <w:rPr>
          <w:rFonts w:ascii="Sylfaen" w:hAnsi="Sylfaen" w:cs="Sylfaen"/>
          <w:sz w:val="24"/>
          <w:szCs w:val="24"/>
          <w:lang w:val="ka-GE"/>
        </w:rPr>
        <w:t>ა და 47-ე მუხლის</w:t>
      </w:r>
      <w:r w:rsidRPr="000C625B">
        <w:rPr>
          <w:rFonts w:ascii="Sylfaen" w:hAnsi="Sylfaen" w:cs="Sylfaen"/>
          <w:sz w:val="24"/>
          <w:szCs w:val="24"/>
          <w:lang w:val="ka-GE"/>
        </w:rPr>
        <w:t xml:space="preserve"> საფუძველზე,</w:t>
      </w:r>
    </w:p>
    <w:p w14:paraId="38AA5CB3" w14:textId="77777777" w:rsidR="00F9687F" w:rsidRPr="000C625B" w:rsidRDefault="00F9687F" w:rsidP="00253371">
      <w:pPr>
        <w:pStyle w:val="Body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sz w:val="24"/>
          <w:szCs w:val="24"/>
          <w:lang w:val="ka-GE"/>
        </w:rPr>
      </w:pPr>
    </w:p>
    <w:p w14:paraId="7AB312B8" w14:textId="77777777" w:rsidR="00F9687F" w:rsidRPr="000C625B" w:rsidRDefault="00F9687F" w:rsidP="00253371">
      <w:pPr>
        <w:pStyle w:val="Body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Sylfaen" w:hAnsi="Sylfaen" w:cs="Sylfaen"/>
          <w:sz w:val="24"/>
          <w:szCs w:val="24"/>
          <w:lang w:val="ka-GE"/>
        </w:rPr>
      </w:pPr>
    </w:p>
    <w:p w14:paraId="42E218ED" w14:textId="77777777" w:rsidR="00F9687F" w:rsidRPr="000C625B" w:rsidRDefault="00F9687F" w:rsidP="00253371">
      <w:pPr>
        <w:spacing w:after="0"/>
        <w:contextualSpacing/>
        <w:jc w:val="center"/>
        <w:rPr>
          <w:rFonts w:ascii="Sylfaen" w:hAnsi="Sylfaen"/>
          <w:b/>
          <w:bCs/>
          <w:sz w:val="24"/>
          <w:szCs w:val="24"/>
        </w:rPr>
      </w:pPr>
      <w:r w:rsidRPr="000C625B">
        <w:rPr>
          <w:rFonts w:ascii="Sylfaen" w:hAnsi="Sylfaen"/>
          <w:b/>
          <w:bCs/>
          <w:sz w:val="24"/>
          <w:szCs w:val="24"/>
        </w:rPr>
        <w:lastRenderedPageBreak/>
        <w:t>საქართველოს საკონსტიტუციო სასამართლო</w:t>
      </w:r>
    </w:p>
    <w:p w14:paraId="76E30E24" w14:textId="77777777" w:rsidR="00F9687F" w:rsidRPr="000C625B" w:rsidRDefault="00F9687F" w:rsidP="00253371">
      <w:pPr>
        <w:spacing w:after="0"/>
        <w:contextualSpacing/>
        <w:jc w:val="center"/>
        <w:rPr>
          <w:rFonts w:ascii="Sylfaen" w:hAnsi="Sylfaen"/>
          <w:b/>
          <w:bCs/>
          <w:sz w:val="24"/>
          <w:szCs w:val="24"/>
        </w:rPr>
      </w:pPr>
      <w:r w:rsidRPr="000C625B">
        <w:rPr>
          <w:rFonts w:ascii="Sylfaen" w:hAnsi="Sylfaen"/>
          <w:b/>
          <w:bCs/>
          <w:sz w:val="24"/>
          <w:szCs w:val="24"/>
        </w:rPr>
        <w:t>ა დ გ ე ნ ს:</w:t>
      </w:r>
    </w:p>
    <w:p w14:paraId="7FA2774E" w14:textId="77777777" w:rsidR="00F9687F" w:rsidRPr="000C625B" w:rsidRDefault="00F9687F" w:rsidP="00253371">
      <w:pPr>
        <w:pStyle w:val="Body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b/>
          <w:sz w:val="24"/>
          <w:szCs w:val="24"/>
          <w:lang w:val="ka-GE"/>
        </w:rPr>
      </w:pPr>
    </w:p>
    <w:p w14:paraId="16C7F1D6" w14:textId="77777777" w:rsidR="00F9687F" w:rsidRPr="000C625B" w:rsidRDefault="00F9687F" w:rsidP="00253371">
      <w:pPr>
        <w:pStyle w:val="ListParagraph"/>
        <w:numPr>
          <w:ilvl w:val="0"/>
          <w:numId w:val="3"/>
        </w:numPr>
        <w:spacing w:after="0"/>
        <w:ind w:left="0" w:firstLine="284"/>
        <w:jc w:val="both"/>
        <w:rPr>
          <w:rFonts w:ascii="Sylfaen" w:hAnsi="Sylfaen" w:cs="Sylfaen"/>
          <w:sz w:val="24"/>
          <w:szCs w:val="24"/>
        </w:rPr>
      </w:pPr>
      <w:r w:rsidRPr="000C625B">
        <w:rPr>
          <w:rFonts w:ascii="Sylfaen" w:hAnsi="Sylfaen" w:cs="Sylfaen"/>
          <w:sz w:val="24"/>
          <w:szCs w:val="24"/>
        </w:rPr>
        <w:t>არ იქნეს მიღებული არსებითად განსახილველად №</w:t>
      </w:r>
      <w:r w:rsidR="00944EB0" w:rsidRPr="000C625B">
        <w:rPr>
          <w:rFonts w:ascii="Sylfaen" w:hAnsi="Sylfaen" w:cs="Sylfaen"/>
          <w:sz w:val="24"/>
          <w:szCs w:val="24"/>
        </w:rPr>
        <w:t>1474</w:t>
      </w:r>
      <w:r w:rsidR="003343E0" w:rsidRPr="000C625B">
        <w:rPr>
          <w:rFonts w:ascii="Sylfaen" w:hAnsi="Sylfaen" w:cs="Sylfaen"/>
          <w:sz w:val="24"/>
          <w:szCs w:val="24"/>
        </w:rPr>
        <w:t xml:space="preserve"> </w:t>
      </w:r>
      <w:r w:rsidRPr="000C625B">
        <w:rPr>
          <w:rFonts w:ascii="Sylfaen" w:hAnsi="Sylfaen" w:cs="Sylfaen"/>
          <w:sz w:val="24"/>
          <w:szCs w:val="24"/>
        </w:rPr>
        <w:t>კონსტიტუციური სარჩელი („</w:t>
      </w:r>
      <w:r w:rsidR="00CF7274" w:rsidRPr="000C625B">
        <w:rPr>
          <w:rFonts w:ascii="Sylfaen" w:hAnsi="Sylfaen"/>
          <w:sz w:val="24"/>
          <w:szCs w:val="24"/>
        </w:rPr>
        <w:t>გი</w:t>
      </w:r>
      <w:r w:rsidR="00944EB0" w:rsidRPr="000C625B">
        <w:rPr>
          <w:rFonts w:ascii="Sylfaen" w:hAnsi="Sylfaen"/>
          <w:sz w:val="24"/>
          <w:szCs w:val="24"/>
        </w:rPr>
        <w:t xml:space="preserve">გა ჭელიძე </w:t>
      </w:r>
      <w:r w:rsidRPr="000C625B">
        <w:rPr>
          <w:rFonts w:ascii="Sylfaen" w:hAnsi="Sylfaen"/>
          <w:sz w:val="24"/>
          <w:szCs w:val="24"/>
        </w:rPr>
        <w:t>საქართველოს პარლამენტის წინააღმდეგ“).</w:t>
      </w:r>
    </w:p>
    <w:p w14:paraId="0F955405" w14:textId="77777777" w:rsidR="00F9687F" w:rsidRDefault="00F9687F" w:rsidP="00253371">
      <w:pPr>
        <w:pStyle w:val="ListParagraph"/>
        <w:numPr>
          <w:ilvl w:val="0"/>
          <w:numId w:val="3"/>
        </w:numPr>
        <w:spacing w:after="0"/>
        <w:ind w:left="0" w:firstLine="284"/>
        <w:jc w:val="both"/>
        <w:rPr>
          <w:rFonts w:ascii="Sylfaen" w:hAnsi="Sylfaen" w:cs="Sylfaen"/>
          <w:sz w:val="24"/>
          <w:szCs w:val="24"/>
        </w:rPr>
      </w:pPr>
      <w:r w:rsidRPr="000C625B">
        <w:rPr>
          <w:rFonts w:ascii="Sylfaen" w:hAnsi="Sylfaen" w:cs="Sylfaen"/>
          <w:sz w:val="24"/>
          <w:szCs w:val="24"/>
        </w:rPr>
        <w:t>განჩინება საბოლოოა და გასაჩივრებას ან გადასინჯვას არ ექვემდებარება.</w:t>
      </w:r>
    </w:p>
    <w:p w14:paraId="6EC4FCE9" w14:textId="77777777" w:rsidR="004F5EE1" w:rsidRPr="000C625B" w:rsidRDefault="004F5EE1" w:rsidP="00253371">
      <w:pPr>
        <w:pStyle w:val="ListParagraph"/>
        <w:numPr>
          <w:ilvl w:val="0"/>
          <w:numId w:val="3"/>
        </w:numPr>
        <w:spacing w:after="0"/>
        <w:ind w:left="0" w:firstLine="284"/>
        <w:jc w:val="both"/>
        <w:rPr>
          <w:rFonts w:ascii="Sylfaen" w:hAnsi="Sylfaen" w:cs="Sylfaen"/>
          <w:sz w:val="24"/>
          <w:szCs w:val="24"/>
        </w:rPr>
      </w:pPr>
      <w:r w:rsidRPr="004F5EE1">
        <w:rPr>
          <w:rFonts w:ascii="Sylfaen" w:hAnsi="Sylfaen" w:cs="Sylfaen"/>
          <w:sz w:val="24"/>
          <w:szCs w:val="24"/>
        </w:rPr>
        <w:t>განჩინებას დაერთოს მოსამართლე</w:t>
      </w:r>
      <w:r>
        <w:rPr>
          <w:rFonts w:ascii="Sylfaen" w:hAnsi="Sylfaen" w:cs="Sylfaen"/>
          <w:sz w:val="24"/>
          <w:szCs w:val="24"/>
        </w:rPr>
        <w:t xml:space="preserve"> </w:t>
      </w:r>
      <w:r w:rsidRPr="004F5EE1">
        <w:rPr>
          <w:rFonts w:ascii="Sylfaen" w:hAnsi="Sylfaen" w:cs="Sylfaen"/>
          <w:sz w:val="24"/>
          <w:szCs w:val="24"/>
        </w:rPr>
        <w:t xml:space="preserve">თეიმურაზ ტუღუშის </w:t>
      </w:r>
      <w:r>
        <w:rPr>
          <w:rFonts w:ascii="Sylfaen" w:hAnsi="Sylfaen" w:cs="Sylfaen"/>
          <w:sz w:val="24"/>
          <w:szCs w:val="24"/>
        </w:rPr>
        <w:t>განსხვავებული აზრი.</w:t>
      </w:r>
    </w:p>
    <w:p w14:paraId="16276039" w14:textId="77777777" w:rsidR="00F9687F" w:rsidRPr="000C625B" w:rsidRDefault="00F9687F" w:rsidP="00253371">
      <w:pPr>
        <w:pStyle w:val="ListParagraph"/>
        <w:numPr>
          <w:ilvl w:val="0"/>
          <w:numId w:val="3"/>
        </w:numPr>
        <w:pBdr>
          <w:top w:val="nil"/>
          <w:left w:val="nil"/>
          <w:bottom w:val="nil"/>
          <w:right w:val="nil"/>
          <w:between w:val="nil"/>
          <w:bar w:val="nil"/>
        </w:pBdr>
        <w:spacing w:after="0"/>
        <w:ind w:left="0" w:firstLine="284"/>
        <w:contextualSpacing w:val="0"/>
        <w:jc w:val="both"/>
        <w:rPr>
          <w:rFonts w:ascii="Sylfaen" w:hAnsi="Sylfaen" w:cs="Sylfaen"/>
          <w:sz w:val="24"/>
          <w:szCs w:val="24"/>
        </w:rPr>
      </w:pPr>
      <w:r w:rsidRPr="000C625B">
        <w:rPr>
          <w:rFonts w:ascii="Sylfaen" w:hAnsi="Sylfaen" w:cs="Sylfaen"/>
          <w:sz w:val="24"/>
          <w:szCs w:val="24"/>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7FA31BA2" w14:textId="77777777" w:rsidR="00F9687F" w:rsidRPr="000C625B" w:rsidRDefault="00F9687F" w:rsidP="00DD7026">
      <w:pPr>
        <w:spacing w:after="0"/>
        <w:jc w:val="both"/>
        <w:rPr>
          <w:rFonts w:ascii="Sylfaen" w:hAnsi="Sylfaen"/>
          <w:b/>
          <w:sz w:val="24"/>
          <w:szCs w:val="24"/>
        </w:rPr>
      </w:pPr>
    </w:p>
    <w:p w14:paraId="2F680725" w14:textId="77777777" w:rsidR="00F9687F" w:rsidRPr="000C625B" w:rsidRDefault="00F9687F" w:rsidP="00DD7026">
      <w:pPr>
        <w:spacing w:after="0"/>
        <w:ind w:firstLine="360"/>
        <w:jc w:val="both"/>
        <w:rPr>
          <w:rFonts w:ascii="Sylfaen" w:hAnsi="Sylfaen"/>
          <w:b/>
          <w:sz w:val="24"/>
          <w:szCs w:val="24"/>
        </w:rPr>
      </w:pPr>
    </w:p>
    <w:p w14:paraId="44E6E27E" w14:textId="77777777" w:rsidR="00F9687F" w:rsidRPr="000C625B" w:rsidRDefault="00F9687F" w:rsidP="00DD7026">
      <w:pPr>
        <w:spacing w:after="0"/>
        <w:ind w:firstLine="360"/>
        <w:jc w:val="both"/>
        <w:rPr>
          <w:rFonts w:ascii="Sylfaen" w:hAnsi="Sylfaen"/>
          <w:b/>
          <w:sz w:val="24"/>
          <w:szCs w:val="24"/>
        </w:rPr>
      </w:pPr>
      <w:r w:rsidRPr="000C625B">
        <w:rPr>
          <w:rFonts w:ascii="Sylfaen" w:hAnsi="Sylfaen"/>
          <w:b/>
          <w:sz w:val="24"/>
          <w:szCs w:val="24"/>
        </w:rPr>
        <w:t>კოლეგიის</w:t>
      </w:r>
      <w:r w:rsidR="00E41B34" w:rsidRPr="000C625B">
        <w:rPr>
          <w:rFonts w:ascii="Sylfaen" w:hAnsi="Sylfaen"/>
          <w:b/>
          <w:sz w:val="24"/>
          <w:szCs w:val="24"/>
        </w:rPr>
        <w:t xml:space="preserve"> წევრები</w:t>
      </w:r>
      <w:r w:rsidRPr="000C625B">
        <w:rPr>
          <w:rFonts w:ascii="Sylfaen" w:hAnsi="Sylfaen"/>
          <w:b/>
          <w:sz w:val="24"/>
          <w:szCs w:val="24"/>
        </w:rPr>
        <w:t>:</w:t>
      </w:r>
    </w:p>
    <w:p w14:paraId="688BE39F" w14:textId="77777777" w:rsidR="00F9687F" w:rsidRPr="000C625B" w:rsidRDefault="00F9687F" w:rsidP="00DD7026">
      <w:pPr>
        <w:pStyle w:val="ListParagraph"/>
        <w:spacing w:after="0"/>
        <w:ind w:left="360"/>
        <w:jc w:val="both"/>
        <w:rPr>
          <w:rFonts w:ascii="Sylfaen" w:hAnsi="Sylfaen" w:cs="Calibri"/>
          <w:sz w:val="24"/>
          <w:szCs w:val="24"/>
        </w:rPr>
      </w:pPr>
    </w:p>
    <w:p w14:paraId="59A84186" w14:textId="77777777" w:rsidR="00F9687F" w:rsidRPr="000C625B" w:rsidRDefault="003343E0" w:rsidP="00DD7026">
      <w:pPr>
        <w:pStyle w:val="ListParagraph"/>
        <w:spacing w:after="0"/>
        <w:ind w:left="360"/>
        <w:jc w:val="both"/>
        <w:rPr>
          <w:rFonts w:ascii="Sylfaen" w:hAnsi="Sylfaen" w:cs="Calibri"/>
          <w:sz w:val="24"/>
          <w:szCs w:val="24"/>
        </w:rPr>
      </w:pPr>
      <w:r w:rsidRPr="000C625B">
        <w:rPr>
          <w:rFonts w:ascii="Sylfaen" w:hAnsi="Sylfaen" w:cs="Calibri"/>
          <w:sz w:val="24"/>
          <w:szCs w:val="24"/>
        </w:rPr>
        <w:t>მანანა კობახიძე</w:t>
      </w:r>
    </w:p>
    <w:p w14:paraId="26E687B3" w14:textId="77777777" w:rsidR="003343E0" w:rsidRPr="000C625B" w:rsidRDefault="003343E0" w:rsidP="00DD7026">
      <w:pPr>
        <w:pStyle w:val="ListParagraph"/>
        <w:spacing w:after="0"/>
        <w:ind w:left="360"/>
        <w:jc w:val="both"/>
        <w:rPr>
          <w:rFonts w:ascii="Sylfaen" w:hAnsi="Sylfaen" w:cs="Calibri"/>
          <w:sz w:val="24"/>
          <w:szCs w:val="24"/>
        </w:rPr>
      </w:pPr>
    </w:p>
    <w:p w14:paraId="74F0A595" w14:textId="77777777" w:rsidR="003343E0" w:rsidRPr="000C625B" w:rsidRDefault="003343E0" w:rsidP="00DD7026">
      <w:pPr>
        <w:pStyle w:val="ListParagraph"/>
        <w:spacing w:after="0"/>
        <w:ind w:left="360"/>
        <w:jc w:val="both"/>
        <w:rPr>
          <w:rFonts w:ascii="Sylfaen" w:hAnsi="Sylfaen" w:cs="Calibri"/>
          <w:sz w:val="24"/>
          <w:szCs w:val="24"/>
        </w:rPr>
      </w:pPr>
    </w:p>
    <w:p w14:paraId="4F0D30E0" w14:textId="77777777" w:rsidR="00F9687F" w:rsidRPr="000C625B" w:rsidRDefault="00F9687F" w:rsidP="00DD7026">
      <w:pPr>
        <w:pStyle w:val="ListParagraph"/>
        <w:spacing w:after="0"/>
        <w:ind w:left="360"/>
        <w:jc w:val="both"/>
        <w:rPr>
          <w:rFonts w:ascii="Sylfaen" w:hAnsi="Sylfaen" w:cs="Calibri"/>
          <w:sz w:val="24"/>
          <w:szCs w:val="24"/>
        </w:rPr>
      </w:pPr>
      <w:r w:rsidRPr="000C625B">
        <w:rPr>
          <w:rFonts w:ascii="Sylfaen" w:hAnsi="Sylfaen" w:cs="Calibri"/>
          <w:sz w:val="24"/>
          <w:szCs w:val="24"/>
        </w:rPr>
        <w:t>ირინე იმერლიშვილი</w:t>
      </w:r>
    </w:p>
    <w:p w14:paraId="4818E302" w14:textId="77777777" w:rsidR="003343E0" w:rsidRPr="000C625B" w:rsidRDefault="003343E0" w:rsidP="00DD7026">
      <w:pPr>
        <w:pStyle w:val="ListParagraph"/>
        <w:spacing w:after="0"/>
        <w:ind w:left="360"/>
        <w:jc w:val="both"/>
        <w:rPr>
          <w:rFonts w:ascii="Sylfaen" w:hAnsi="Sylfaen" w:cs="Calibri"/>
          <w:sz w:val="24"/>
          <w:szCs w:val="24"/>
        </w:rPr>
      </w:pPr>
    </w:p>
    <w:p w14:paraId="7DC99133" w14:textId="77777777" w:rsidR="00B44743" w:rsidRPr="000C625B" w:rsidRDefault="00B44743" w:rsidP="00DD7026">
      <w:pPr>
        <w:spacing w:after="0"/>
        <w:jc w:val="both"/>
        <w:rPr>
          <w:rFonts w:ascii="Sylfaen" w:hAnsi="Sylfaen" w:cs="Calibri"/>
          <w:sz w:val="24"/>
          <w:szCs w:val="24"/>
        </w:rPr>
      </w:pPr>
    </w:p>
    <w:p w14:paraId="38D44AB0" w14:textId="77777777" w:rsidR="00F9687F" w:rsidRPr="000C625B" w:rsidRDefault="003343E0" w:rsidP="00DD7026">
      <w:pPr>
        <w:pStyle w:val="ListParagraph"/>
        <w:spacing w:after="0"/>
        <w:ind w:left="360"/>
        <w:jc w:val="both"/>
        <w:rPr>
          <w:rFonts w:ascii="Sylfaen" w:hAnsi="Sylfaen" w:cs="Calibri"/>
          <w:sz w:val="24"/>
          <w:szCs w:val="24"/>
        </w:rPr>
      </w:pPr>
      <w:r w:rsidRPr="000C625B">
        <w:rPr>
          <w:rFonts w:ascii="Sylfaen" w:hAnsi="Sylfaen" w:cs="Calibri"/>
          <w:sz w:val="24"/>
          <w:szCs w:val="24"/>
        </w:rPr>
        <w:t xml:space="preserve">ხვიჩა კიკილაშვილი </w:t>
      </w:r>
    </w:p>
    <w:p w14:paraId="434210D6" w14:textId="77777777" w:rsidR="00B44743" w:rsidRPr="000C625B" w:rsidRDefault="00B44743" w:rsidP="00DD7026">
      <w:pPr>
        <w:pStyle w:val="ListParagraph"/>
        <w:spacing w:after="0"/>
        <w:ind w:left="360"/>
        <w:jc w:val="both"/>
        <w:rPr>
          <w:rFonts w:ascii="Sylfaen" w:hAnsi="Sylfaen" w:cs="Calibri"/>
          <w:sz w:val="24"/>
          <w:szCs w:val="24"/>
        </w:rPr>
      </w:pPr>
    </w:p>
    <w:p w14:paraId="588CC5D8" w14:textId="77777777" w:rsidR="003343E0" w:rsidRPr="000C625B" w:rsidRDefault="003343E0" w:rsidP="00DD7026">
      <w:pPr>
        <w:pStyle w:val="ListParagraph"/>
        <w:spacing w:after="0"/>
        <w:ind w:left="360"/>
        <w:jc w:val="both"/>
        <w:rPr>
          <w:rFonts w:ascii="Sylfaen" w:hAnsi="Sylfaen" w:cs="Calibri"/>
          <w:sz w:val="24"/>
          <w:szCs w:val="24"/>
        </w:rPr>
      </w:pPr>
    </w:p>
    <w:p w14:paraId="2B8EE316" w14:textId="77777777" w:rsidR="003343E0" w:rsidRPr="000C625B" w:rsidRDefault="003343E0" w:rsidP="00DD7026">
      <w:pPr>
        <w:pStyle w:val="ListParagraph"/>
        <w:spacing w:after="0"/>
        <w:ind w:left="360"/>
        <w:jc w:val="both"/>
        <w:rPr>
          <w:rFonts w:ascii="Sylfaen" w:hAnsi="Sylfaen" w:cs="Calibri"/>
          <w:sz w:val="24"/>
          <w:szCs w:val="24"/>
        </w:rPr>
      </w:pPr>
      <w:r w:rsidRPr="000C625B">
        <w:rPr>
          <w:rFonts w:ascii="Sylfaen" w:hAnsi="Sylfaen" w:cs="Calibri"/>
          <w:sz w:val="24"/>
          <w:szCs w:val="24"/>
        </w:rPr>
        <w:t>თეიმურაზ ტუღუში</w:t>
      </w:r>
    </w:p>
    <w:p w14:paraId="23AA80E3" w14:textId="77777777" w:rsidR="003343E0" w:rsidRPr="000C625B" w:rsidRDefault="003343E0" w:rsidP="00DD7026">
      <w:pPr>
        <w:pStyle w:val="ListParagraph"/>
        <w:spacing w:after="0"/>
        <w:ind w:left="360"/>
        <w:jc w:val="both"/>
        <w:rPr>
          <w:rFonts w:ascii="Sylfaen" w:hAnsi="Sylfaen" w:cs="Calibri"/>
          <w:b/>
          <w:sz w:val="24"/>
          <w:szCs w:val="24"/>
        </w:rPr>
      </w:pPr>
    </w:p>
    <w:p w14:paraId="5F1F394A" w14:textId="77777777" w:rsidR="003343E0" w:rsidRPr="000C625B" w:rsidRDefault="003343E0" w:rsidP="00DD7026">
      <w:pPr>
        <w:pStyle w:val="ListParagraph"/>
        <w:spacing w:after="0"/>
        <w:ind w:left="360"/>
        <w:jc w:val="both"/>
        <w:rPr>
          <w:rFonts w:ascii="Sylfaen" w:hAnsi="Sylfaen" w:cs="Calibri"/>
          <w:b/>
          <w:sz w:val="24"/>
          <w:szCs w:val="24"/>
        </w:rPr>
      </w:pPr>
    </w:p>
    <w:sectPr w:rsidR="003343E0" w:rsidRPr="000C625B" w:rsidSect="00C10B11">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72634" w14:textId="77777777" w:rsidR="002E390B" w:rsidRDefault="002E390B" w:rsidP="00C944DB">
      <w:pPr>
        <w:spacing w:after="0" w:line="240" w:lineRule="auto"/>
      </w:pPr>
      <w:r>
        <w:separator/>
      </w:r>
    </w:p>
  </w:endnote>
  <w:endnote w:type="continuationSeparator" w:id="0">
    <w:p w14:paraId="77276F20" w14:textId="77777777" w:rsidR="002E390B" w:rsidRDefault="002E390B" w:rsidP="00C9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cadNusx">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558E" w14:textId="44CBA96B" w:rsidR="00C944DB" w:rsidRPr="00CA6B40" w:rsidRDefault="00304099">
    <w:pPr>
      <w:pStyle w:val="Footer"/>
      <w:jc w:val="right"/>
      <w:rPr>
        <w:rFonts w:ascii="Sylfaen" w:hAnsi="Sylfaen"/>
      </w:rPr>
    </w:pPr>
    <w:r w:rsidRPr="00CA6B40">
      <w:rPr>
        <w:rFonts w:ascii="Sylfaen" w:hAnsi="Sylfaen"/>
      </w:rPr>
      <w:fldChar w:fldCharType="begin"/>
    </w:r>
    <w:r w:rsidR="00C944DB" w:rsidRPr="00CA6B40">
      <w:rPr>
        <w:rFonts w:ascii="Sylfaen" w:hAnsi="Sylfaen"/>
      </w:rPr>
      <w:instrText xml:space="preserve"> PAGE   \* MERGEFORMAT </w:instrText>
    </w:r>
    <w:r w:rsidRPr="00CA6B40">
      <w:rPr>
        <w:rFonts w:ascii="Sylfaen" w:hAnsi="Sylfaen"/>
      </w:rPr>
      <w:fldChar w:fldCharType="separate"/>
    </w:r>
    <w:r w:rsidR="00B61D0F">
      <w:rPr>
        <w:rFonts w:ascii="Sylfaen" w:hAnsi="Sylfaen"/>
        <w:noProof/>
      </w:rPr>
      <w:t>14</w:t>
    </w:r>
    <w:r w:rsidRPr="00CA6B40">
      <w:rPr>
        <w:rFonts w:ascii="Sylfaen" w:hAnsi="Sylfaen"/>
        <w:noProof/>
      </w:rPr>
      <w:fldChar w:fldCharType="end"/>
    </w:r>
  </w:p>
  <w:p w14:paraId="35A1D9BD" w14:textId="77777777" w:rsidR="00C944DB" w:rsidRPr="00CA6B40" w:rsidRDefault="00C944DB">
    <w:pPr>
      <w:pStyle w:val="Footer"/>
      <w:rPr>
        <w:rFonts w:ascii="Sylfaen" w:hAnsi="Sylfa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97BB6" w14:textId="77777777" w:rsidR="002E390B" w:rsidRDefault="002E390B" w:rsidP="00C944DB">
      <w:pPr>
        <w:spacing w:after="0" w:line="240" w:lineRule="auto"/>
      </w:pPr>
      <w:r>
        <w:separator/>
      </w:r>
    </w:p>
  </w:footnote>
  <w:footnote w:type="continuationSeparator" w:id="0">
    <w:p w14:paraId="68A00CB7" w14:textId="77777777" w:rsidR="002E390B" w:rsidRDefault="002E390B" w:rsidP="00C94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376C"/>
    <w:multiLevelType w:val="hybridMultilevel"/>
    <w:tmpl w:val="2C9A8864"/>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89B21E1"/>
    <w:multiLevelType w:val="hybridMultilevel"/>
    <w:tmpl w:val="5272546E"/>
    <w:lvl w:ilvl="0" w:tplc="0409000F">
      <w:start w:val="1"/>
      <w:numFmt w:val="decimal"/>
      <w:lvlText w:val="%1."/>
      <w:lvlJc w:val="left"/>
      <w:pPr>
        <w:ind w:left="404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A6F05"/>
    <w:multiLevelType w:val="hybridMultilevel"/>
    <w:tmpl w:val="63E8197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2A06524C"/>
    <w:multiLevelType w:val="hybridMultilevel"/>
    <w:tmpl w:val="639005D0"/>
    <w:lvl w:ilvl="0" w:tplc="F61E6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5A7E12"/>
    <w:multiLevelType w:val="hybridMultilevel"/>
    <w:tmpl w:val="2CF87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7084B"/>
    <w:multiLevelType w:val="hybridMultilevel"/>
    <w:tmpl w:val="AF748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D24BF"/>
    <w:multiLevelType w:val="hybridMultilevel"/>
    <w:tmpl w:val="5812154E"/>
    <w:lvl w:ilvl="0" w:tplc="3E1285D8">
      <w:start w:val="1"/>
      <w:numFmt w:val="decimal"/>
      <w:lvlText w:val="%1."/>
      <w:lvlJc w:val="left"/>
      <w:pPr>
        <w:ind w:left="720"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C04FE9"/>
    <w:multiLevelType w:val="hybridMultilevel"/>
    <w:tmpl w:val="D264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468EE"/>
    <w:multiLevelType w:val="hybridMultilevel"/>
    <w:tmpl w:val="9DFA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54E06"/>
    <w:multiLevelType w:val="hybridMultilevel"/>
    <w:tmpl w:val="2A86E596"/>
    <w:lvl w:ilvl="0" w:tplc="BBA655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385FCB"/>
    <w:multiLevelType w:val="hybridMultilevel"/>
    <w:tmpl w:val="5812154E"/>
    <w:lvl w:ilvl="0" w:tplc="3E1285D8">
      <w:start w:val="1"/>
      <w:numFmt w:val="decimal"/>
      <w:lvlText w:val="%1."/>
      <w:lvlJc w:val="left"/>
      <w:pPr>
        <w:ind w:left="720"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584148">
    <w:abstractNumId w:val="10"/>
  </w:num>
  <w:num w:numId="2" w16cid:durableId="1895656145">
    <w:abstractNumId w:val="11"/>
  </w:num>
  <w:num w:numId="3" w16cid:durableId="729962288">
    <w:abstractNumId w:val="0"/>
  </w:num>
  <w:num w:numId="4" w16cid:durableId="489833861">
    <w:abstractNumId w:val="8"/>
  </w:num>
  <w:num w:numId="5" w16cid:durableId="253172940">
    <w:abstractNumId w:val="5"/>
  </w:num>
  <w:num w:numId="6" w16cid:durableId="1345522931">
    <w:abstractNumId w:val="4"/>
  </w:num>
  <w:num w:numId="7" w16cid:durableId="864905826">
    <w:abstractNumId w:val="3"/>
  </w:num>
  <w:num w:numId="8" w16cid:durableId="1184173485">
    <w:abstractNumId w:val="9"/>
  </w:num>
  <w:num w:numId="9" w16cid:durableId="1183205304">
    <w:abstractNumId w:val="7"/>
  </w:num>
  <w:num w:numId="10" w16cid:durableId="233273961">
    <w:abstractNumId w:val="6"/>
  </w:num>
  <w:num w:numId="11" w16cid:durableId="503201240">
    <w:abstractNumId w:val="2"/>
  </w:num>
  <w:num w:numId="12" w16cid:durableId="70517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F1"/>
    <w:rsid w:val="00002057"/>
    <w:rsid w:val="00003449"/>
    <w:rsid w:val="000053DA"/>
    <w:rsid w:val="00005F41"/>
    <w:rsid w:val="00006E76"/>
    <w:rsid w:val="00007A1F"/>
    <w:rsid w:val="00011E8B"/>
    <w:rsid w:val="000132F7"/>
    <w:rsid w:val="000134B0"/>
    <w:rsid w:val="00016DC6"/>
    <w:rsid w:val="00016FFE"/>
    <w:rsid w:val="000174DD"/>
    <w:rsid w:val="00017653"/>
    <w:rsid w:val="000314CC"/>
    <w:rsid w:val="00033B7A"/>
    <w:rsid w:val="00034B6F"/>
    <w:rsid w:val="0004111E"/>
    <w:rsid w:val="00051D68"/>
    <w:rsid w:val="00052FF1"/>
    <w:rsid w:val="00053123"/>
    <w:rsid w:val="0005491C"/>
    <w:rsid w:val="00064778"/>
    <w:rsid w:val="00064E7F"/>
    <w:rsid w:val="000701FC"/>
    <w:rsid w:val="0007371E"/>
    <w:rsid w:val="00077DB7"/>
    <w:rsid w:val="00086A20"/>
    <w:rsid w:val="000924C2"/>
    <w:rsid w:val="00092A65"/>
    <w:rsid w:val="00092AF9"/>
    <w:rsid w:val="00094E5F"/>
    <w:rsid w:val="000A15A4"/>
    <w:rsid w:val="000A3A66"/>
    <w:rsid w:val="000A42E1"/>
    <w:rsid w:val="000A5EEA"/>
    <w:rsid w:val="000A5F5F"/>
    <w:rsid w:val="000A7153"/>
    <w:rsid w:val="000B0154"/>
    <w:rsid w:val="000B024B"/>
    <w:rsid w:val="000B0654"/>
    <w:rsid w:val="000B0898"/>
    <w:rsid w:val="000B33CD"/>
    <w:rsid w:val="000B4935"/>
    <w:rsid w:val="000B5A4E"/>
    <w:rsid w:val="000B7AAE"/>
    <w:rsid w:val="000C2C45"/>
    <w:rsid w:val="000C5277"/>
    <w:rsid w:val="000C6205"/>
    <w:rsid w:val="000C625B"/>
    <w:rsid w:val="000D2EF7"/>
    <w:rsid w:val="000D53C1"/>
    <w:rsid w:val="000E04B2"/>
    <w:rsid w:val="000E19E1"/>
    <w:rsid w:val="000E28AE"/>
    <w:rsid w:val="000E5F21"/>
    <w:rsid w:val="000E6006"/>
    <w:rsid w:val="000F0641"/>
    <w:rsid w:val="000F0B02"/>
    <w:rsid w:val="000F21D1"/>
    <w:rsid w:val="000F385C"/>
    <w:rsid w:val="000F7EEC"/>
    <w:rsid w:val="00106778"/>
    <w:rsid w:val="001070A7"/>
    <w:rsid w:val="001109D4"/>
    <w:rsid w:val="00111F9A"/>
    <w:rsid w:val="00116951"/>
    <w:rsid w:val="00122474"/>
    <w:rsid w:val="001237F5"/>
    <w:rsid w:val="00123EE7"/>
    <w:rsid w:val="0012517C"/>
    <w:rsid w:val="00125BBD"/>
    <w:rsid w:val="001305CD"/>
    <w:rsid w:val="00132926"/>
    <w:rsid w:val="00132B48"/>
    <w:rsid w:val="00135749"/>
    <w:rsid w:val="00137C64"/>
    <w:rsid w:val="00140CB3"/>
    <w:rsid w:val="00141DED"/>
    <w:rsid w:val="00142631"/>
    <w:rsid w:val="0014329B"/>
    <w:rsid w:val="001460C7"/>
    <w:rsid w:val="001501DC"/>
    <w:rsid w:val="00150FF8"/>
    <w:rsid w:val="001511E0"/>
    <w:rsid w:val="0015242C"/>
    <w:rsid w:val="001532B3"/>
    <w:rsid w:val="00155128"/>
    <w:rsid w:val="0016062B"/>
    <w:rsid w:val="001658C8"/>
    <w:rsid w:val="00167BFF"/>
    <w:rsid w:val="0017022F"/>
    <w:rsid w:val="00173461"/>
    <w:rsid w:val="00173D4A"/>
    <w:rsid w:val="0017493F"/>
    <w:rsid w:val="0017626E"/>
    <w:rsid w:val="00180140"/>
    <w:rsid w:val="001862BD"/>
    <w:rsid w:val="00191EBE"/>
    <w:rsid w:val="00192C50"/>
    <w:rsid w:val="00197739"/>
    <w:rsid w:val="001A05BE"/>
    <w:rsid w:val="001A2696"/>
    <w:rsid w:val="001A29AA"/>
    <w:rsid w:val="001A7B51"/>
    <w:rsid w:val="001A7EE7"/>
    <w:rsid w:val="001A7F01"/>
    <w:rsid w:val="001B2E3A"/>
    <w:rsid w:val="001C1BB6"/>
    <w:rsid w:val="001C2732"/>
    <w:rsid w:val="001C4891"/>
    <w:rsid w:val="001C67F7"/>
    <w:rsid w:val="001C6ED5"/>
    <w:rsid w:val="001D1220"/>
    <w:rsid w:val="001D1481"/>
    <w:rsid w:val="001D1521"/>
    <w:rsid w:val="001D47AD"/>
    <w:rsid w:val="001D5D15"/>
    <w:rsid w:val="001D7129"/>
    <w:rsid w:val="001E5126"/>
    <w:rsid w:val="001E67B4"/>
    <w:rsid w:val="001F1666"/>
    <w:rsid w:val="001F1C7A"/>
    <w:rsid w:val="001F2F30"/>
    <w:rsid w:val="001F79AE"/>
    <w:rsid w:val="001F7F98"/>
    <w:rsid w:val="00203748"/>
    <w:rsid w:val="002040E8"/>
    <w:rsid w:val="00206636"/>
    <w:rsid w:val="002073D6"/>
    <w:rsid w:val="00210C6E"/>
    <w:rsid w:val="00215820"/>
    <w:rsid w:val="002248EE"/>
    <w:rsid w:val="00225F7E"/>
    <w:rsid w:val="00227902"/>
    <w:rsid w:val="00233008"/>
    <w:rsid w:val="002370DC"/>
    <w:rsid w:val="002379CB"/>
    <w:rsid w:val="0024041D"/>
    <w:rsid w:val="00243D8F"/>
    <w:rsid w:val="002463DC"/>
    <w:rsid w:val="00250214"/>
    <w:rsid w:val="00253371"/>
    <w:rsid w:val="00255B99"/>
    <w:rsid w:val="0025629D"/>
    <w:rsid w:val="00256620"/>
    <w:rsid w:val="00260A76"/>
    <w:rsid w:val="00260BF1"/>
    <w:rsid w:val="00261170"/>
    <w:rsid w:val="00262045"/>
    <w:rsid w:val="002653A3"/>
    <w:rsid w:val="00265968"/>
    <w:rsid w:val="00267918"/>
    <w:rsid w:val="00271523"/>
    <w:rsid w:val="00271765"/>
    <w:rsid w:val="00272D77"/>
    <w:rsid w:val="00275BE4"/>
    <w:rsid w:val="00275ED8"/>
    <w:rsid w:val="00276398"/>
    <w:rsid w:val="002763C4"/>
    <w:rsid w:val="00276B6B"/>
    <w:rsid w:val="0028081A"/>
    <w:rsid w:val="00281372"/>
    <w:rsid w:val="00281397"/>
    <w:rsid w:val="002827F6"/>
    <w:rsid w:val="00282A21"/>
    <w:rsid w:val="00283C85"/>
    <w:rsid w:val="00283FCA"/>
    <w:rsid w:val="0028638E"/>
    <w:rsid w:val="00291749"/>
    <w:rsid w:val="002920F4"/>
    <w:rsid w:val="002932DC"/>
    <w:rsid w:val="0029502D"/>
    <w:rsid w:val="0029505D"/>
    <w:rsid w:val="002960EF"/>
    <w:rsid w:val="002967E1"/>
    <w:rsid w:val="002A0740"/>
    <w:rsid w:val="002A1BD3"/>
    <w:rsid w:val="002A4A9E"/>
    <w:rsid w:val="002A5C23"/>
    <w:rsid w:val="002B17C3"/>
    <w:rsid w:val="002B26AE"/>
    <w:rsid w:val="002B7148"/>
    <w:rsid w:val="002C0182"/>
    <w:rsid w:val="002C37D2"/>
    <w:rsid w:val="002C39BE"/>
    <w:rsid w:val="002D1AA9"/>
    <w:rsid w:val="002D5BD9"/>
    <w:rsid w:val="002D5DFA"/>
    <w:rsid w:val="002D5F34"/>
    <w:rsid w:val="002E17FA"/>
    <w:rsid w:val="002E38EA"/>
    <w:rsid w:val="002E390B"/>
    <w:rsid w:val="002E595A"/>
    <w:rsid w:val="002E755E"/>
    <w:rsid w:val="002F50BB"/>
    <w:rsid w:val="00304099"/>
    <w:rsid w:val="003058B1"/>
    <w:rsid w:val="003076E5"/>
    <w:rsid w:val="0031185A"/>
    <w:rsid w:val="00313972"/>
    <w:rsid w:val="00314782"/>
    <w:rsid w:val="003153CF"/>
    <w:rsid w:val="003168CB"/>
    <w:rsid w:val="003204FB"/>
    <w:rsid w:val="00320CD9"/>
    <w:rsid w:val="00321281"/>
    <w:rsid w:val="00323CB8"/>
    <w:rsid w:val="00325912"/>
    <w:rsid w:val="00330D11"/>
    <w:rsid w:val="00331FDB"/>
    <w:rsid w:val="00332541"/>
    <w:rsid w:val="003343E0"/>
    <w:rsid w:val="00334FB3"/>
    <w:rsid w:val="00336650"/>
    <w:rsid w:val="00337A39"/>
    <w:rsid w:val="00340F9C"/>
    <w:rsid w:val="00345FD0"/>
    <w:rsid w:val="00347767"/>
    <w:rsid w:val="00347D3F"/>
    <w:rsid w:val="00347F47"/>
    <w:rsid w:val="00347FE3"/>
    <w:rsid w:val="0035082A"/>
    <w:rsid w:val="00351B91"/>
    <w:rsid w:val="00352EB0"/>
    <w:rsid w:val="00357317"/>
    <w:rsid w:val="0035787F"/>
    <w:rsid w:val="00357DEC"/>
    <w:rsid w:val="0036006B"/>
    <w:rsid w:val="0036063B"/>
    <w:rsid w:val="00364FB1"/>
    <w:rsid w:val="00370C15"/>
    <w:rsid w:val="00371B04"/>
    <w:rsid w:val="003725A3"/>
    <w:rsid w:val="00374A9E"/>
    <w:rsid w:val="00375DFA"/>
    <w:rsid w:val="00380019"/>
    <w:rsid w:val="003800E9"/>
    <w:rsid w:val="003801E2"/>
    <w:rsid w:val="003857BA"/>
    <w:rsid w:val="0038654F"/>
    <w:rsid w:val="00387207"/>
    <w:rsid w:val="00391985"/>
    <w:rsid w:val="003936FD"/>
    <w:rsid w:val="00393942"/>
    <w:rsid w:val="00395C4E"/>
    <w:rsid w:val="00396F5D"/>
    <w:rsid w:val="003A4E2B"/>
    <w:rsid w:val="003B13E8"/>
    <w:rsid w:val="003B3FED"/>
    <w:rsid w:val="003B58AC"/>
    <w:rsid w:val="003C01DA"/>
    <w:rsid w:val="003C1685"/>
    <w:rsid w:val="003C3955"/>
    <w:rsid w:val="003C6A93"/>
    <w:rsid w:val="003D057F"/>
    <w:rsid w:val="003D6A61"/>
    <w:rsid w:val="003D6F44"/>
    <w:rsid w:val="003D7B72"/>
    <w:rsid w:val="003E015C"/>
    <w:rsid w:val="003E070D"/>
    <w:rsid w:val="003E50A7"/>
    <w:rsid w:val="003E6B98"/>
    <w:rsid w:val="003F4843"/>
    <w:rsid w:val="00401306"/>
    <w:rsid w:val="0040234A"/>
    <w:rsid w:val="00405D7D"/>
    <w:rsid w:val="00407DD6"/>
    <w:rsid w:val="004102A2"/>
    <w:rsid w:val="00410E6C"/>
    <w:rsid w:val="00415194"/>
    <w:rsid w:val="004229A0"/>
    <w:rsid w:val="00424B98"/>
    <w:rsid w:val="004278E0"/>
    <w:rsid w:val="00427B34"/>
    <w:rsid w:val="0043034D"/>
    <w:rsid w:val="004308A9"/>
    <w:rsid w:val="00433D0E"/>
    <w:rsid w:val="00433FD5"/>
    <w:rsid w:val="004361BE"/>
    <w:rsid w:val="00437F5A"/>
    <w:rsid w:val="00441C5E"/>
    <w:rsid w:val="0044266F"/>
    <w:rsid w:val="004467C8"/>
    <w:rsid w:val="00450A3F"/>
    <w:rsid w:val="0045582E"/>
    <w:rsid w:val="00456393"/>
    <w:rsid w:val="004609FB"/>
    <w:rsid w:val="00462E3B"/>
    <w:rsid w:val="004662F8"/>
    <w:rsid w:val="00470646"/>
    <w:rsid w:val="00470AB9"/>
    <w:rsid w:val="00472869"/>
    <w:rsid w:val="004752C2"/>
    <w:rsid w:val="00475824"/>
    <w:rsid w:val="004821C1"/>
    <w:rsid w:val="00482477"/>
    <w:rsid w:val="0048250F"/>
    <w:rsid w:val="00483E0E"/>
    <w:rsid w:val="00484688"/>
    <w:rsid w:val="00487F21"/>
    <w:rsid w:val="00490F79"/>
    <w:rsid w:val="00491086"/>
    <w:rsid w:val="0049358C"/>
    <w:rsid w:val="004A4C61"/>
    <w:rsid w:val="004A6983"/>
    <w:rsid w:val="004B1A68"/>
    <w:rsid w:val="004B2640"/>
    <w:rsid w:val="004B2793"/>
    <w:rsid w:val="004C0E62"/>
    <w:rsid w:val="004C36C5"/>
    <w:rsid w:val="004C63DB"/>
    <w:rsid w:val="004C67A6"/>
    <w:rsid w:val="004C6DCD"/>
    <w:rsid w:val="004D08F0"/>
    <w:rsid w:val="004D3A6A"/>
    <w:rsid w:val="004D4EA9"/>
    <w:rsid w:val="004D6E4C"/>
    <w:rsid w:val="004E0881"/>
    <w:rsid w:val="004E37BC"/>
    <w:rsid w:val="004E452D"/>
    <w:rsid w:val="004E6354"/>
    <w:rsid w:val="004F0502"/>
    <w:rsid w:val="004F16BC"/>
    <w:rsid w:val="004F32F3"/>
    <w:rsid w:val="004F4151"/>
    <w:rsid w:val="004F5EE1"/>
    <w:rsid w:val="0050178C"/>
    <w:rsid w:val="00501793"/>
    <w:rsid w:val="00504CC6"/>
    <w:rsid w:val="00506504"/>
    <w:rsid w:val="00510DFF"/>
    <w:rsid w:val="005111AE"/>
    <w:rsid w:val="00513032"/>
    <w:rsid w:val="00516CE1"/>
    <w:rsid w:val="00517606"/>
    <w:rsid w:val="00517B5D"/>
    <w:rsid w:val="005227A0"/>
    <w:rsid w:val="00524817"/>
    <w:rsid w:val="005269F2"/>
    <w:rsid w:val="00526BB5"/>
    <w:rsid w:val="0053075C"/>
    <w:rsid w:val="00530ADD"/>
    <w:rsid w:val="00531902"/>
    <w:rsid w:val="00533B27"/>
    <w:rsid w:val="005349EB"/>
    <w:rsid w:val="0053670F"/>
    <w:rsid w:val="00536A96"/>
    <w:rsid w:val="0054153D"/>
    <w:rsid w:val="00546D76"/>
    <w:rsid w:val="00552602"/>
    <w:rsid w:val="00553F5B"/>
    <w:rsid w:val="00554C80"/>
    <w:rsid w:val="00560A1E"/>
    <w:rsid w:val="0056281F"/>
    <w:rsid w:val="005634D4"/>
    <w:rsid w:val="00565E95"/>
    <w:rsid w:val="00573526"/>
    <w:rsid w:val="00576D64"/>
    <w:rsid w:val="005822BB"/>
    <w:rsid w:val="00585743"/>
    <w:rsid w:val="00587646"/>
    <w:rsid w:val="00590027"/>
    <w:rsid w:val="00590C6B"/>
    <w:rsid w:val="005941EC"/>
    <w:rsid w:val="00595918"/>
    <w:rsid w:val="00597D8E"/>
    <w:rsid w:val="005A0322"/>
    <w:rsid w:val="005B331A"/>
    <w:rsid w:val="005B5BF7"/>
    <w:rsid w:val="005B68BB"/>
    <w:rsid w:val="005C1503"/>
    <w:rsid w:val="005C32C4"/>
    <w:rsid w:val="005C3EB1"/>
    <w:rsid w:val="005C5CED"/>
    <w:rsid w:val="005C675D"/>
    <w:rsid w:val="005D0C1B"/>
    <w:rsid w:val="005D1881"/>
    <w:rsid w:val="005D413F"/>
    <w:rsid w:val="005D7CE0"/>
    <w:rsid w:val="005E418A"/>
    <w:rsid w:val="005E624E"/>
    <w:rsid w:val="005F55BB"/>
    <w:rsid w:val="005F604A"/>
    <w:rsid w:val="00605F05"/>
    <w:rsid w:val="006063FB"/>
    <w:rsid w:val="00606D8B"/>
    <w:rsid w:val="00610398"/>
    <w:rsid w:val="006117C8"/>
    <w:rsid w:val="00611D88"/>
    <w:rsid w:val="00612E03"/>
    <w:rsid w:val="006144F7"/>
    <w:rsid w:val="0061455F"/>
    <w:rsid w:val="00614BAA"/>
    <w:rsid w:val="00614C78"/>
    <w:rsid w:val="00615B5D"/>
    <w:rsid w:val="00616141"/>
    <w:rsid w:val="00616380"/>
    <w:rsid w:val="00616951"/>
    <w:rsid w:val="006169E1"/>
    <w:rsid w:val="00616DDB"/>
    <w:rsid w:val="00617D79"/>
    <w:rsid w:val="00620044"/>
    <w:rsid w:val="0062126E"/>
    <w:rsid w:val="00622563"/>
    <w:rsid w:val="0062549B"/>
    <w:rsid w:val="006261FD"/>
    <w:rsid w:val="00627AB3"/>
    <w:rsid w:val="0063159F"/>
    <w:rsid w:val="00632988"/>
    <w:rsid w:val="00635FD4"/>
    <w:rsid w:val="00636787"/>
    <w:rsid w:val="00637BD4"/>
    <w:rsid w:val="00640E3E"/>
    <w:rsid w:val="006460D2"/>
    <w:rsid w:val="00647047"/>
    <w:rsid w:val="00657100"/>
    <w:rsid w:val="00660D0B"/>
    <w:rsid w:val="00660DA7"/>
    <w:rsid w:val="00665B9D"/>
    <w:rsid w:val="00665BF5"/>
    <w:rsid w:val="0067358F"/>
    <w:rsid w:val="00673B5D"/>
    <w:rsid w:val="00674D9B"/>
    <w:rsid w:val="00677132"/>
    <w:rsid w:val="0067738F"/>
    <w:rsid w:val="006774B7"/>
    <w:rsid w:val="00681F29"/>
    <w:rsid w:val="00691864"/>
    <w:rsid w:val="006A083D"/>
    <w:rsid w:val="006A0A02"/>
    <w:rsid w:val="006A1657"/>
    <w:rsid w:val="006A27C8"/>
    <w:rsid w:val="006A5A2F"/>
    <w:rsid w:val="006B0867"/>
    <w:rsid w:val="006B7B55"/>
    <w:rsid w:val="006C05E6"/>
    <w:rsid w:val="006C6A9F"/>
    <w:rsid w:val="006D2BD8"/>
    <w:rsid w:val="006D536A"/>
    <w:rsid w:val="006E00E4"/>
    <w:rsid w:val="006E1390"/>
    <w:rsid w:val="006E2CC0"/>
    <w:rsid w:val="006E4ECE"/>
    <w:rsid w:val="006F4EE5"/>
    <w:rsid w:val="006F60E7"/>
    <w:rsid w:val="006F62E8"/>
    <w:rsid w:val="00702827"/>
    <w:rsid w:val="00702E16"/>
    <w:rsid w:val="007042FB"/>
    <w:rsid w:val="00704EA3"/>
    <w:rsid w:val="0070501B"/>
    <w:rsid w:val="00707992"/>
    <w:rsid w:val="00710BC5"/>
    <w:rsid w:val="00710F2C"/>
    <w:rsid w:val="00712E9D"/>
    <w:rsid w:val="0071317B"/>
    <w:rsid w:val="00716580"/>
    <w:rsid w:val="00716ACC"/>
    <w:rsid w:val="00724AB8"/>
    <w:rsid w:val="00727ABD"/>
    <w:rsid w:val="0073037B"/>
    <w:rsid w:val="00731AE4"/>
    <w:rsid w:val="00732865"/>
    <w:rsid w:val="00732B95"/>
    <w:rsid w:val="00732BE6"/>
    <w:rsid w:val="00733525"/>
    <w:rsid w:val="007361F1"/>
    <w:rsid w:val="00742786"/>
    <w:rsid w:val="00743BBB"/>
    <w:rsid w:val="00743EDB"/>
    <w:rsid w:val="007444C2"/>
    <w:rsid w:val="00746ECF"/>
    <w:rsid w:val="00754332"/>
    <w:rsid w:val="0076277B"/>
    <w:rsid w:val="007645EC"/>
    <w:rsid w:val="007656DD"/>
    <w:rsid w:val="007778FA"/>
    <w:rsid w:val="00780FDC"/>
    <w:rsid w:val="0078141D"/>
    <w:rsid w:val="00785721"/>
    <w:rsid w:val="007863F1"/>
    <w:rsid w:val="007906B6"/>
    <w:rsid w:val="00790ED7"/>
    <w:rsid w:val="00792513"/>
    <w:rsid w:val="00792F91"/>
    <w:rsid w:val="00793830"/>
    <w:rsid w:val="007941CA"/>
    <w:rsid w:val="00796246"/>
    <w:rsid w:val="0079663B"/>
    <w:rsid w:val="007977CA"/>
    <w:rsid w:val="007A7DFA"/>
    <w:rsid w:val="007B29F9"/>
    <w:rsid w:val="007B2AD9"/>
    <w:rsid w:val="007B3DD5"/>
    <w:rsid w:val="007B4364"/>
    <w:rsid w:val="007B446D"/>
    <w:rsid w:val="007B622B"/>
    <w:rsid w:val="007C18CE"/>
    <w:rsid w:val="007C4097"/>
    <w:rsid w:val="007C4B97"/>
    <w:rsid w:val="007C7B39"/>
    <w:rsid w:val="007D1DE2"/>
    <w:rsid w:val="007D587F"/>
    <w:rsid w:val="007D5CAF"/>
    <w:rsid w:val="007D7878"/>
    <w:rsid w:val="007E043F"/>
    <w:rsid w:val="007E3CC7"/>
    <w:rsid w:val="007E439B"/>
    <w:rsid w:val="007F08EF"/>
    <w:rsid w:val="007F1CB9"/>
    <w:rsid w:val="007F4581"/>
    <w:rsid w:val="007F48D6"/>
    <w:rsid w:val="007F6537"/>
    <w:rsid w:val="007F7184"/>
    <w:rsid w:val="00802D5C"/>
    <w:rsid w:val="00804652"/>
    <w:rsid w:val="008106B5"/>
    <w:rsid w:val="00810DC4"/>
    <w:rsid w:val="00812B3C"/>
    <w:rsid w:val="00814D14"/>
    <w:rsid w:val="00817B64"/>
    <w:rsid w:val="008201AB"/>
    <w:rsid w:val="00822190"/>
    <w:rsid w:val="008227C3"/>
    <w:rsid w:val="00826F32"/>
    <w:rsid w:val="00830243"/>
    <w:rsid w:val="00831221"/>
    <w:rsid w:val="00832508"/>
    <w:rsid w:val="00832D90"/>
    <w:rsid w:val="00833D8F"/>
    <w:rsid w:val="00835325"/>
    <w:rsid w:val="00836760"/>
    <w:rsid w:val="008415E9"/>
    <w:rsid w:val="008418FD"/>
    <w:rsid w:val="00842581"/>
    <w:rsid w:val="00842D9F"/>
    <w:rsid w:val="00844DA9"/>
    <w:rsid w:val="008453E2"/>
    <w:rsid w:val="008500C8"/>
    <w:rsid w:val="00853355"/>
    <w:rsid w:val="00856FB9"/>
    <w:rsid w:val="00860C3F"/>
    <w:rsid w:val="00867460"/>
    <w:rsid w:val="008706F9"/>
    <w:rsid w:val="00871C0F"/>
    <w:rsid w:val="00875F75"/>
    <w:rsid w:val="00876704"/>
    <w:rsid w:val="00887A46"/>
    <w:rsid w:val="00890E94"/>
    <w:rsid w:val="008918C8"/>
    <w:rsid w:val="00893D5B"/>
    <w:rsid w:val="008A0CC4"/>
    <w:rsid w:val="008A3AF5"/>
    <w:rsid w:val="008A3E85"/>
    <w:rsid w:val="008A5ABB"/>
    <w:rsid w:val="008A7CF3"/>
    <w:rsid w:val="008C16FD"/>
    <w:rsid w:val="008C1B58"/>
    <w:rsid w:val="008C4AE9"/>
    <w:rsid w:val="008C5C1C"/>
    <w:rsid w:val="008D09C0"/>
    <w:rsid w:val="008D4CBC"/>
    <w:rsid w:val="008D529C"/>
    <w:rsid w:val="008D68EE"/>
    <w:rsid w:val="008D69D0"/>
    <w:rsid w:val="008E0F05"/>
    <w:rsid w:val="008E129A"/>
    <w:rsid w:val="008E2A1B"/>
    <w:rsid w:val="008F042E"/>
    <w:rsid w:val="008F10B3"/>
    <w:rsid w:val="008F15DF"/>
    <w:rsid w:val="008F18AF"/>
    <w:rsid w:val="008F2BBA"/>
    <w:rsid w:val="008F4A31"/>
    <w:rsid w:val="008F591A"/>
    <w:rsid w:val="008F5B8D"/>
    <w:rsid w:val="008F688F"/>
    <w:rsid w:val="008F6F9D"/>
    <w:rsid w:val="00902CDC"/>
    <w:rsid w:val="00902F41"/>
    <w:rsid w:val="00903955"/>
    <w:rsid w:val="009041BE"/>
    <w:rsid w:val="0090549E"/>
    <w:rsid w:val="0090735D"/>
    <w:rsid w:val="00911EEF"/>
    <w:rsid w:val="009161F2"/>
    <w:rsid w:val="009163FD"/>
    <w:rsid w:val="009203FE"/>
    <w:rsid w:val="009210DE"/>
    <w:rsid w:val="009213D5"/>
    <w:rsid w:val="00922593"/>
    <w:rsid w:val="00923096"/>
    <w:rsid w:val="0092333D"/>
    <w:rsid w:val="009272C5"/>
    <w:rsid w:val="009278B9"/>
    <w:rsid w:val="00930626"/>
    <w:rsid w:val="00932A9E"/>
    <w:rsid w:val="00936ED6"/>
    <w:rsid w:val="009372B3"/>
    <w:rsid w:val="00937683"/>
    <w:rsid w:val="009407E1"/>
    <w:rsid w:val="009420EF"/>
    <w:rsid w:val="00943BA6"/>
    <w:rsid w:val="00944EB0"/>
    <w:rsid w:val="00946E5F"/>
    <w:rsid w:val="009507BC"/>
    <w:rsid w:val="00951944"/>
    <w:rsid w:val="00951974"/>
    <w:rsid w:val="00952230"/>
    <w:rsid w:val="0095232E"/>
    <w:rsid w:val="00954ADD"/>
    <w:rsid w:val="00955AE0"/>
    <w:rsid w:val="00963615"/>
    <w:rsid w:val="00964B72"/>
    <w:rsid w:val="00966F19"/>
    <w:rsid w:val="009735BF"/>
    <w:rsid w:val="00975D8D"/>
    <w:rsid w:val="009773A9"/>
    <w:rsid w:val="00987C97"/>
    <w:rsid w:val="00992E1E"/>
    <w:rsid w:val="00996745"/>
    <w:rsid w:val="009A0FFF"/>
    <w:rsid w:val="009A2C20"/>
    <w:rsid w:val="009B2580"/>
    <w:rsid w:val="009B2EDB"/>
    <w:rsid w:val="009B37F8"/>
    <w:rsid w:val="009B7298"/>
    <w:rsid w:val="009C229F"/>
    <w:rsid w:val="009C3E57"/>
    <w:rsid w:val="009C3E80"/>
    <w:rsid w:val="009C6973"/>
    <w:rsid w:val="009C698F"/>
    <w:rsid w:val="009D1B75"/>
    <w:rsid w:val="009D349D"/>
    <w:rsid w:val="009D4321"/>
    <w:rsid w:val="009D4F33"/>
    <w:rsid w:val="009E1323"/>
    <w:rsid w:val="009E1714"/>
    <w:rsid w:val="009E2271"/>
    <w:rsid w:val="009E61BC"/>
    <w:rsid w:val="009E7717"/>
    <w:rsid w:val="009F05F8"/>
    <w:rsid w:val="009F0A4D"/>
    <w:rsid w:val="009F4B05"/>
    <w:rsid w:val="009F7D8F"/>
    <w:rsid w:val="00A032AB"/>
    <w:rsid w:val="00A049EA"/>
    <w:rsid w:val="00A05796"/>
    <w:rsid w:val="00A05E88"/>
    <w:rsid w:val="00A12B2C"/>
    <w:rsid w:val="00A21452"/>
    <w:rsid w:val="00A223A1"/>
    <w:rsid w:val="00A22C39"/>
    <w:rsid w:val="00A23586"/>
    <w:rsid w:val="00A24A48"/>
    <w:rsid w:val="00A25172"/>
    <w:rsid w:val="00A27767"/>
    <w:rsid w:val="00A31321"/>
    <w:rsid w:val="00A352AE"/>
    <w:rsid w:val="00A36D32"/>
    <w:rsid w:val="00A36E7B"/>
    <w:rsid w:val="00A37B7E"/>
    <w:rsid w:val="00A401B3"/>
    <w:rsid w:val="00A45807"/>
    <w:rsid w:val="00A46279"/>
    <w:rsid w:val="00A47772"/>
    <w:rsid w:val="00A50895"/>
    <w:rsid w:val="00A5113C"/>
    <w:rsid w:val="00A5418D"/>
    <w:rsid w:val="00A566DF"/>
    <w:rsid w:val="00A577E8"/>
    <w:rsid w:val="00A6004B"/>
    <w:rsid w:val="00A60A9A"/>
    <w:rsid w:val="00A71B44"/>
    <w:rsid w:val="00A73427"/>
    <w:rsid w:val="00A736FE"/>
    <w:rsid w:val="00A73EEC"/>
    <w:rsid w:val="00A743E6"/>
    <w:rsid w:val="00A755AB"/>
    <w:rsid w:val="00A76E92"/>
    <w:rsid w:val="00A77C53"/>
    <w:rsid w:val="00A81829"/>
    <w:rsid w:val="00A83771"/>
    <w:rsid w:val="00A83B8F"/>
    <w:rsid w:val="00A85B98"/>
    <w:rsid w:val="00A860D3"/>
    <w:rsid w:val="00A93F16"/>
    <w:rsid w:val="00AB43FC"/>
    <w:rsid w:val="00AB6392"/>
    <w:rsid w:val="00AC031A"/>
    <w:rsid w:val="00AC2B0C"/>
    <w:rsid w:val="00AC3476"/>
    <w:rsid w:val="00AC3F6F"/>
    <w:rsid w:val="00AC4BB7"/>
    <w:rsid w:val="00AC5274"/>
    <w:rsid w:val="00AD224B"/>
    <w:rsid w:val="00AD48B7"/>
    <w:rsid w:val="00AE07A1"/>
    <w:rsid w:val="00AE3DA7"/>
    <w:rsid w:val="00AE4656"/>
    <w:rsid w:val="00AE4BA5"/>
    <w:rsid w:val="00AE5B09"/>
    <w:rsid w:val="00AE7C1B"/>
    <w:rsid w:val="00B01147"/>
    <w:rsid w:val="00B021EA"/>
    <w:rsid w:val="00B02EDC"/>
    <w:rsid w:val="00B03928"/>
    <w:rsid w:val="00B0555F"/>
    <w:rsid w:val="00B062FD"/>
    <w:rsid w:val="00B06916"/>
    <w:rsid w:val="00B069E4"/>
    <w:rsid w:val="00B07070"/>
    <w:rsid w:val="00B127A2"/>
    <w:rsid w:val="00B30A70"/>
    <w:rsid w:val="00B31BA9"/>
    <w:rsid w:val="00B36C9A"/>
    <w:rsid w:val="00B4315A"/>
    <w:rsid w:val="00B43FE5"/>
    <w:rsid w:val="00B44743"/>
    <w:rsid w:val="00B5008D"/>
    <w:rsid w:val="00B5089B"/>
    <w:rsid w:val="00B61D0F"/>
    <w:rsid w:val="00B62616"/>
    <w:rsid w:val="00B65AD8"/>
    <w:rsid w:val="00B65F95"/>
    <w:rsid w:val="00B6647C"/>
    <w:rsid w:val="00B71066"/>
    <w:rsid w:val="00B72070"/>
    <w:rsid w:val="00B72E7B"/>
    <w:rsid w:val="00B811C5"/>
    <w:rsid w:val="00B823D6"/>
    <w:rsid w:val="00B84A2D"/>
    <w:rsid w:val="00B86933"/>
    <w:rsid w:val="00B96194"/>
    <w:rsid w:val="00B968FC"/>
    <w:rsid w:val="00BA10AD"/>
    <w:rsid w:val="00BA723B"/>
    <w:rsid w:val="00BB0E9A"/>
    <w:rsid w:val="00BB1D66"/>
    <w:rsid w:val="00BB26A7"/>
    <w:rsid w:val="00BC28F3"/>
    <w:rsid w:val="00BC2FA2"/>
    <w:rsid w:val="00BD0BCA"/>
    <w:rsid w:val="00BD213A"/>
    <w:rsid w:val="00BD5740"/>
    <w:rsid w:val="00BD66A1"/>
    <w:rsid w:val="00BE1804"/>
    <w:rsid w:val="00BE2370"/>
    <w:rsid w:val="00BE35EE"/>
    <w:rsid w:val="00BE4175"/>
    <w:rsid w:val="00BE4F90"/>
    <w:rsid w:val="00BE5B1D"/>
    <w:rsid w:val="00BE5E58"/>
    <w:rsid w:val="00BF006F"/>
    <w:rsid w:val="00BF169A"/>
    <w:rsid w:val="00BF2D39"/>
    <w:rsid w:val="00BF34A4"/>
    <w:rsid w:val="00BF40E5"/>
    <w:rsid w:val="00BF456E"/>
    <w:rsid w:val="00C02141"/>
    <w:rsid w:val="00C100E9"/>
    <w:rsid w:val="00C1035D"/>
    <w:rsid w:val="00C10B11"/>
    <w:rsid w:val="00C10C44"/>
    <w:rsid w:val="00C13B05"/>
    <w:rsid w:val="00C15055"/>
    <w:rsid w:val="00C214F3"/>
    <w:rsid w:val="00C23E85"/>
    <w:rsid w:val="00C24C04"/>
    <w:rsid w:val="00C255AD"/>
    <w:rsid w:val="00C274F7"/>
    <w:rsid w:val="00C303A7"/>
    <w:rsid w:val="00C3146F"/>
    <w:rsid w:val="00C33072"/>
    <w:rsid w:val="00C3622D"/>
    <w:rsid w:val="00C374F2"/>
    <w:rsid w:val="00C42EA4"/>
    <w:rsid w:val="00C44D9D"/>
    <w:rsid w:val="00C45662"/>
    <w:rsid w:val="00C504F1"/>
    <w:rsid w:val="00C5179A"/>
    <w:rsid w:val="00C5391F"/>
    <w:rsid w:val="00C540B6"/>
    <w:rsid w:val="00C570A6"/>
    <w:rsid w:val="00C57C4B"/>
    <w:rsid w:val="00C6375C"/>
    <w:rsid w:val="00C6579A"/>
    <w:rsid w:val="00C673D5"/>
    <w:rsid w:val="00C71743"/>
    <w:rsid w:val="00C75289"/>
    <w:rsid w:val="00C763FB"/>
    <w:rsid w:val="00C8026F"/>
    <w:rsid w:val="00C80E2B"/>
    <w:rsid w:val="00C81F22"/>
    <w:rsid w:val="00C91F60"/>
    <w:rsid w:val="00C92735"/>
    <w:rsid w:val="00C932AD"/>
    <w:rsid w:val="00C944DB"/>
    <w:rsid w:val="00C94A87"/>
    <w:rsid w:val="00CA062D"/>
    <w:rsid w:val="00CA1FB0"/>
    <w:rsid w:val="00CA2387"/>
    <w:rsid w:val="00CA34AB"/>
    <w:rsid w:val="00CA5294"/>
    <w:rsid w:val="00CA585D"/>
    <w:rsid w:val="00CA6B40"/>
    <w:rsid w:val="00CB05DA"/>
    <w:rsid w:val="00CB5DCA"/>
    <w:rsid w:val="00CC1F2E"/>
    <w:rsid w:val="00CC32FD"/>
    <w:rsid w:val="00CC4032"/>
    <w:rsid w:val="00CC6799"/>
    <w:rsid w:val="00CD329B"/>
    <w:rsid w:val="00CD6775"/>
    <w:rsid w:val="00CD71D2"/>
    <w:rsid w:val="00CD7FA7"/>
    <w:rsid w:val="00CE0462"/>
    <w:rsid w:val="00CE04FA"/>
    <w:rsid w:val="00CE0C44"/>
    <w:rsid w:val="00CE3891"/>
    <w:rsid w:val="00CE5B75"/>
    <w:rsid w:val="00CE7FE7"/>
    <w:rsid w:val="00CF0901"/>
    <w:rsid w:val="00CF0BEA"/>
    <w:rsid w:val="00CF432B"/>
    <w:rsid w:val="00CF4E7C"/>
    <w:rsid w:val="00CF64DC"/>
    <w:rsid w:val="00CF7274"/>
    <w:rsid w:val="00D0371E"/>
    <w:rsid w:val="00D03ECA"/>
    <w:rsid w:val="00D04A12"/>
    <w:rsid w:val="00D04D0C"/>
    <w:rsid w:val="00D0701B"/>
    <w:rsid w:val="00D10733"/>
    <w:rsid w:val="00D10984"/>
    <w:rsid w:val="00D1195C"/>
    <w:rsid w:val="00D136DB"/>
    <w:rsid w:val="00D15FB4"/>
    <w:rsid w:val="00D1626D"/>
    <w:rsid w:val="00D16DF0"/>
    <w:rsid w:val="00D17D64"/>
    <w:rsid w:val="00D20F71"/>
    <w:rsid w:val="00D24078"/>
    <w:rsid w:val="00D24684"/>
    <w:rsid w:val="00D310F1"/>
    <w:rsid w:val="00D32E17"/>
    <w:rsid w:val="00D3726A"/>
    <w:rsid w:val="00D44DF2"/>
    <w:rsid w:val="00D523A3"/>
    <w:rsid w:val="00D52948"/>
    <w:rsid w:val="00D53A12"/>
    <w:rsid w:val="00D543AF"/>
    <w:rsid w:val="00D64A2A"/>
    <w:rsid w:val="00D65ADA"/>
    <w:rsid w:val="00D70816"/>
    <w:rsid w:val="00D71CD8"/>
    <w:rsid w:val="00D73770"/>
    <w:rsid w:val="00D74EAA"/>
    <w:rsid w:val="00D76556"/>
    <w:rsid w:val="00D80EA9"/>
    <w:rsid w:val="00D823AF"/>
    <w:rsid w:val="00D8271F"/>
    <w:rsid w:val="00D83165"/>
    <w:rsid w:val="00D831A8"/>
    <w:rsid w:val="00D93F7C"/>
    <w:rsid w:val="00D94616"/>
    <w:rsid w:val="00D94703"/>
    <w:rsid w:val="00D9651A"/>
    <w:rsid w:val="00D979D9"/>
    <w:rsid w:val="00DA0418"/>
    <w:rsid w:val="00DA0F48"/>
    <w:rsid w:val="00DB1EA9"/>
    <w:rsid w:val="00DB37BC"/>
    <w:rsid w:val="00DB49C6"/>
    <w:rsid w:val="00DB7B4D"/>
    <w:rsid w:val="00DC36FC"/>
    <w:rsid w:val="00DC4A79"/>
    <w:rsid w:val="00DC726D"/>
    <w:rsid w:val="00DD200F"/>
    <w:rsid w:val="00DD353B"/>
    <w:rsid w:val="00DD4664"/>
    <w:rsid w:val="00DD6CE8"/>
    <w:rsid w:val="00DD7026"/>
    <w:rsid w:val="00DE15BA"/>
    <w:rsid w:val="00DE7705"/>
    <w:rsid w:val="00DF0678"/>
    <w:rsid w:val="00DF276D"/>
    <w:rsid w:val="00DF6228"/>
    <w:rsid w:val="00DF725C"/>
    <w:rsid w:val="00E0017C"/>
    <w:rsid w:val="00E05704"/>
    <w:rsid w:val="00E05813"/>
    <w:rsid w:val="00E068BD"/>
    <w:rsid w:val="00E07CFA"/>
    <w:rsid w:val="00E12940"/>
    <w:rsid w:val="00E15291"/>
    <w:rsid w:val="00E16ADB"/>
    <w:rsid w:val="00E22FC1"/>
    <w:rsid w:val="00E236A3"/>
    <w:rsid w:val="00E238D7"/>
    <w:rsid w:val="00E25BDF"/>
    <w:rsid w:val="00E25D6A"/>
    <w:rsid w:val="00E312CE"/>
    <w:rsid w:val="00E31732"/>
    <w:rsid w:val="00E33BA0"/>
    <w:rsid w:val="00E35A8D"/>
    <w:rsid w:val="00E3690B"/>
    <w:rsid w:val="00E40650"/>
    <w:rsid w:val="00E41B34"/>
    <w:rsid w:val="00E41BC1"/>
    <w:rsid w:val="00E420C4"/>
    <w:rsid w:val="00E4466C"/>
    <w:rsid w:val="00E460F8"/>
    <w:rsid w:val="00E4665A"/>
    <w:rsid w:val="00E46D55"/>
    <w:rsid w:val="00E474BC"/>
    <w:rsid w:val="00E47F9B"/>
    <w:rsid w:val="00E50B37"/>
    <w:rsid w:val="00E514D0"/>
    <w:rsid w:val="00E519BF"/>
    <w:rsid w:val="00E5798F"/>
    <w:rsid w:val="00E64A35"/>
    <w:rsid w:val="00E659F0"/>
    <w:rsid w:val="00E666C5"/>
    <w:rsid w:val="00E66C5B"/>
    <w:rsid w:val="00E66D24"/>
    <w:rsid w:val="00E70ACD"/>
    <w:rsid w:val="00E73952"/>
    <w:rsid w:val="00E75EE9"/>
    <w:rsid w:val="00E77E32"/>
    <w:rsid w:val="00E82287"/>
    <w:rsid w:val="00E82470"/>
    <w:rsid w:val="00E83DF0"/>
    <w:rsid w:val="00E83F9A"/>
    <w:rsid w:val="00E84F3A"/>
    <w:rsid w:val="00E876F0"/>
    <w:rsid w:val="00E917E6"/>
    <w:rsid w:val="00E91D26"/>
    <w:rsid w:val="00E9510B"/>
    <w:rsid w:val="00E95894"/>
    <w:rsid w:val="00EA21B5"/>
    <w:rsid w:val="00EA2987"/>
    <w:rsid w:val="00EA6C41"/>
    <w:rsid w:val="00EB0661"/>
    <w:rsid w:val="00EB0ABA"/>
    <w:rsid w:val="00EB483A"/>
    <w:rsid w:val="00EC1D6E"/>
    <w:rsid w:val="00EC4ED8"/>
    <w:rsid w:val="00EC5C48"/>
    <w:rsid w:val="00ED4B9C"/>
    <w:rsid w:val="00ED5BF0"/>
    <w:rsid w:val="00ED7D3A"/>
    <w:rsid w:val="00EE043B"/>
    <w:rsid w:val="00EE04A7"/>
    <w:rsid w:val="00EE64B9"/>
    <w:rsid w:val="00EE7070"/>
    <w:rsid w:val="00EE72AE"/>
    <w:rsid w:val="00EF086D"/>
    <w:rsid w:val="00EF21A3"/>
    <w:rsid w:val="00EF5675"/>
    <w:rsid w:val="00F01C6F"/>
    <w:rsid w:val="00F06CFE"/>
    <w:rsid w:val="00F07300"/>
    <w:rsid w:val="00F074C7"/>
    <w:rsid w:val="00F07F49"/>
    <w:rsid w:val="00F101FB"/>
    <w:rsid w:val="00F12F31"/>
    <w:rsid w:val="00F15AEB"/>
    <w:rsid w:val="00F16FFF"/>
    <w:rsid w:val="00F21466"/>
    <w:rsid w:val="00F21641"/>
    <w:rsid w:val="00F2230F"/>
    <w:rsid w:val="00F23953"/>
    <w:rsid w:val="00F262F3"/>
    <w:rsid w:val="00F264EA"/>
    <w:rsid w:val="00F27BA0"/>
    <w:rsid w:val="00F368C8"/>
    <w:rsid w:val="00F36A37"/>
    <w:rsid w:val="00F36D7C"/>
    <w:rsid w:val="00F37D45"/>
    <w:rsid w:val="00F44833"/>
    <w:rsid w:val="00F4559C"/>
    <w:rsid w:val="00F46B16"/>
    <w:rsid w:val="00F479DE"/>
    <w:rsid w:val="00F523B5"/>
    <w:rsid w:val="00F530D4"/>
    <w:rsid w:val="00F554BF"/>
    <w:rsid w:val="00F566EC"/>
    <w:rsid w:val="00F56B9E"/>
    <w:rsid w:val="00F65E67"/>
    <w:rsid w:val="00F66801"/>
    <w:rsid w:val="00F72B50"/>
    <w:rsid w:val="00F75B70"/>
    <w:rsid w:val="00F75C6F"/>
    <w:rsid w:val="00F77DF7"/>
    <w:rsid w:val="00F80AFA"/>
    <w:rsid w:val="00F80FDF"/>
    <w:rsid w:val="00F81C1A"/>
    <w:rsid w:val="00F84473"/>
    <w:rsid w:val="00F865E6"/>
    <w:rsid w:val="00F86707"/>
    <w:rsid w:val="00F9687F"/>
    <w:rsid w:val="00FA07A5"/>
    <w:rsid w:val="00FA28FE"/>
    <w:rsid w:val="00FA35DD"/>
    <w:rsid w:val="00FA7D64"/>
    <w:rsid w:val="00FB7DE7"/>
    <w:rsid w:val="00FC1893"/>
    <w:rsid w:val="00FC19F3"/>
    <w:rsid w:val="00FC70D0"/>
    <w:rsid w:val="00FD33A9"/>
    <w:rsid w:val="00FD426D"/>
    <w:rsid w:val="00FD4F6F"/>
    <w:rsid w:val="00FD59FD"/>
    <w:rsid w:val="00FD611C"/>
    <w:rsid w:val="00FE105A"/>
    <w:rsid w:val="00FE22FB"/>
    <w:rsid w:val="00FE2F2A"/>
    <w:rsid w:val="00FF61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28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9A"/>
    <w:pPr>
      <w:spacing w:after="200" w:line="276" w:lineRule="auto"/>
    </w:pPr>
    <w:rPr>
      <w:sz w:val="22"/>
      <w:szCs w:val="22"/>
      <w:lang w:val="ka-GE"/>
    </w:rPr>
  </w:style>
  <w:style w:type="paragraph" w:styleId="Heading1">
    <w:name w:val="heading 1"/>
    <w:basedOn w:val="Normal"/>
    <w:next w:val="Normal"/>
    <w:link w:val="Heading1Char"/>
    <w:uiPriority w:val="9"/>
    <w:qFormat/>
    <w:rsid w:val="00C6579A"/>
    <w:pPr>
      <w:keepNext/>
      <w:keepLines/>
      <w:spacing w:before="240" w:after="0"/>
      <w:jc w:val="center"/>
      <w:outlineLvl w:val="0"/>
    </w:pPr>
    <w:rPr>
      <w:rFonts w:ascii="Sylfaen" w:eastAsia="Times New Roman" w:hAnsi="Sylfaen"/>
      <w:b/>
      <w:sz w:val="24"/>
      <w:szCs w:val="32"/>
      <w:lang w:val="x-none" w:eastAsia="x-none"/>
    </w:rPr>
  </w:style>
  <w:style w:type="paragraph" w:styleId="Heading2">
    <w:name w:val="heading 2"/>
    <w:basedOn w:val="Normal"/>
    <w:next w:val="Normal"/>
    <w:link w:val="Heading2Char"/>
    <w:uiPriority w:val="9"/>
    <w:semiHidden/>
    <w:unhideWhenUsed/>
    <w:qFormat/>
    <w:rsid w:val="00D52948"/>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579A"/>
    <w:rPr>
      <w:rFonts w:ascii="Sylfaen" w:eastAsia="Times New Roman" w:hAnsi="Sylfaen" w:cs="Times New Roman"/>
      <w:b/>
      <w:sz w:val="24"/>
      <w:szCs w:val="32"/>
    </w:rPr>
  </w:style>
  <w:style w:type="paragraph" w:styleId="ListParagraph">
    <w:name w:val="List Paragraph"/>
    <w:basedOn w:val="Normal"/>
    <w:uiPriority w:val="34"/>
    <w:qFormat/>
    <w:rsid w:val="002A5C23"/>
    <w:pPr>
      <w:ind w:left="720"/>
      <w:contextualSpacing/>
    </w:pPr>
  </w:style>
  <w:style w:type="paragraph" w:styleId="BalloonText">
    <w:name w:val="Balloon Text"/>
    <w:basedOn w:val="Normal"/>
    <w:link w:val="BalloonTextChar"/>
    <w:uiPriority w:val="99"/>
    <w:semiHidden/>
    <w:unhideWhenUsed/>
    <w:rsid w:val="00605F05"/>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605F05"/>
    <w:rPr>
      <w:rFonts w:ascii="Segoe UI" w:eastAsia="Calibri" w:hAnsi="Segoe UI" w:cs="Segoe UI"/>
      <w:sz w:val="18"/>
      <w:szCs w:val="18"/>
      <w:lang w:val="ka-GE"/>
    </w:rPr>
  </w:style>
  <w:style w:type="character" w:styleId="Strong">
    <w:name w:val="Strong"/>
    <w:uiPriority w:val="22"/>
    <w:qFormat/>
    <w:rsid w:val="00F9687F"/>
    <w:rPr>
      <w:b/>
      <w:bCs/>
    </w:rPr>
  </w:style>
  <w:style w:type="paragraph" w:styleId="BodyText">
    <w:name w:val="Body Text"/>
    <w:basedOn w:val="Normal"/>
    <w:link w:val="BodyTextChar"/>
    <w:rsid w:val="00F9687F"/>
    <w:pPr>
      <w:spacing w:after="120" w:line="240" w:lineRule="atLeast"/>
    </w:pPr>
    <w:rPr>
      <w:rFonts w:ascii="Times New Roman" w:eastAsia="Times New Roman" w:hAnsi="Times New Roman"/>
      <w:sz w:val="20"/>
      <w:szCs w:val="20"/>
      <w:lang w:val="x-none" w:eastAsia="x-none"/>
    </w:rPr>
  </w:style>
  <w:style w:type="character" w:customStyle="1" w:styleId="BodyTextChar">
    <w:name w:val="Body Text Char"/>
    <w:link w:val="BodyText"/>
    <w:rsid w:val="00F9687F"/>
    <w:rPr>
      <w:rFonts w:ascii="Times New Roman" w:eastAsia="Times New Roman" w:hAnsi="Times New Roman" w:cs="Arial"/>
      <w:sz w:val="20"/>
      <w:szCs w:val="20"/>
    </w:rPr>
  </w:style>
  <w:style w:type="character" w:styleId="CommentReference">
    <w:name w:val="annotation reference"/>
    <w:uiPriority w:val="99"/>
    <w:semiHidden/>
    <w:unhideWhenUsed/>
    <w:rsid w:val="00951974"/>
    <w:rPr>
      <w:sz w:val="16"/>
      <w:szCs w:val="16"/>
    </w:rPr>
  </w:style>
  <w:style w:type="paragraph" w:styleId="CommentText">
    <w:name w:val="annotation text"/>
    <w:basedOn w:val="Normal"/>
    <w:link w:val="CommentTextChar"/>
    <w:uiPriority w:val="99"/>
    <w:semiHidden/>
    <w:unhideWhenUsed/>
    <w:rsid w:val="00951974"/>
    <w:pPr>
      <w:spacing w:line="240" w:lineRule="auto"/>
    </w:pPr>
    <w:rPr>
      <w:sz w:val="20"/>
      <w:szCs w:val="20"/>
      <w:lang w:eastAsia="x-none"/>
    </w:rPr>
  </w:style>
  <w:style w:type="character" w:customStyle="1" w:styleId="CommentTextChar">
    <w:name w:val="Comment Text Char"/>
    <w:link w:val="CommentText"/>
    <w:uiPriority w:val="99"/>
    <w:semiHidden/>
    <w:rsid w:val="00951974"/>
    <w:rPr>
      <w:rFonts w:ascii="Calibri" w:eastAsia="Calibri" w:hAnsi="Calibri" w:cs="Times New Roman"/>
      <w:sz w:val="20"/>
      <w:szCs w:val="20"/>
      <w:lang w:val="ka-GE"/>
    </w:rPr>
  </w:style>
  <w:style w:type="paragraph" w:styleId="CommentSubject">
    <w:name w:val="annotation subject"/>
    <w:basedOn w:val="CommentText"/>
    <w:next w:val="CommentText"/>
    <w:link w:val="CommentSubjectChar"/>
    <w:uiPriority w:val="99"/>
    <w:semiHidden/>
    <w:unhideWhenUsed/>
    <w:rsid w:val="00951974"/>
    <w:rPr>
      <w:b/>
      <w:bCs/>
    </w:rPr>
  </w:style>
  <w:style w:type="character" w:customStyle="1" w:styleId="CommentSubjectChar">
    <w:name w:val="Comment Subject Char"/>
    <w:link w:val="CommentSubject"/>
    <w:uiPriority w:val="99"/>
    <w:semiHidden/>
    <w:rsid w:val="00951974"/>
    <w:rPr>
      <w:rFonts w:ascii="Calibri" w:eastAsia="Calibri" w:hAnsi="Calibri" w:cs="Times New Roman"/>
      <w:b/>
      <w:bCs/>
      <w:sz w:val="20"/>
      <w:szCs w:val="20"/>
      <w:lang w:val="ka-GE"/>
    </w:rPr>
  </w:style>
  <w:style w:type="paragraph" w:styleId="Header">
    <w:name w:val="header"/>
    <w:basedOn w:val="Normal"/>
    <w:link w:val="HeaderChar"/>
    <w:uiPriority w:val="99"/>
    <w:unhideWhenUsed/>
    <w:rsid w:val="00C944DB"/>
    <w:pPr>
      <w:tabs>
        <w:tab w:val="center" w:pos="4844"/>
        <w:tab w:val="right" w:pos="9689"/>
      </w:tabs>
      <w:spacing w:after="0" w:line="240" w:lineRule="auto"/>
    </w:pPr>
    <w:rPr>
      <w:sz w:val="20"/>
      <w:szCs w:val="20"/>
      <w:lang w:eastAsia="x-none"/>
    </w:rPr>
  </w:style>
  <w:style w:type="character" w:customStyle="1" w:styleId="HeaderChar">
    <w:name w:val="Header Char"/>
    <w:link w:val="Header"/>
    <w:uiPriority w:val="99"/>
    <w:rsid w:val="00C944DB"/>
    <w:rPr>
      <w:rFonts w:ascii="Calibri" w:eastAsia="Calibri" w:hAnsi="Calibri" w:cs="Times New Roman"/>
      <w:lang w:val="ka-GE"/>
    </w:rPr>
  </w:style>
  <w:style w:type="paragraph" w:styleId="Footer">
    <w:name w:val="footer"/>
    <w:basedOn w:val="Normal"/>
    <w:link w:val="FooterChar"/>
    <w:uiPriority w:val="99"/>
    <w:unhideWhenUsed/>
    <w:rsid w:val="00C944DB"/>
    <w:pPr>
      <w:tabs>
        <w:tab w:val="center" w:pos="4844"/>
        <w:tab w:val="right" w:pos="9689"/>
      </w:tabs>
      <w:spacing w:after="0" w:line="240" w:lineRule="auto"/>
    </w:pPr>
    <w:rPr>
      <w:sz w:val="20"/>
      <w:szCs w:val="20"/>
      <w:lang w:eastAsia="x-none"/>
    </w:rPr>
  </w:style>
  <w:style w:type="character" w:customStyle="1" w:styleId="FooterChar">
    <w:name w:val="Footer Char"/>
    <w:link w:val="Footer"/>
    <w:uiPriority w:val="99"/>
    <w:rsid w:val="00C944DB"/>
    <w:rPr>
      <w:rFonts w:ascii="Calibri" w:eastAsia="Calibri" w:hAnsi="Calibri" w:cs="Times New Roman"/>
      <w:lang w:val="ka-GE"/>
    </w:rPr>
  </w:style>
  <w:style w:type="paragraph" w:styleId="EndnoteText">
    <w:name w:val="endnote text"/>
    <w:basedOn w:val="Normal"/>
    <w:link w:val="EndnoteTextChar"/>
    <w:uiPriority w:val="99"/>
    <w:semiHidden/>
    <w:unhideWhenUsed/>
    <w:rsid w:val="00F44833"/>
    <w:pPr>
      <w:spacing w:after="0" w:line="240" w:lineRule="auto"/>
    </w:pPr>
    <w:rPr>
      <w:sz w:val="20"/>
      <w:szCs w:val="20"/>
      <w:lang w:eastAsia="x-none"/>
    </w:rPr>
  </w:style>
  <w:style w:type="character" w:customStyle="1" w:styleId="EndnoteTextChar">
    <w:name w:val="Endnote Text Char"/>
    <w:link w:val="EndnoteText"/>
    <w:uiPriority w:val="99"/>
    <w:semiHidden/>
    <w:rsid w:val="00F44833"/>
    <w:rPr>
      <w:rFonts w:ascii="Calibri" w:eastAsia="Calibri" w:hAnsi="Calibri" w:cs="Times New Roman"/>
      <w:sz w:val="20"/>
      <w:szCs w:val="20"/>
      <w:lang w:val="ka-GE"/>
    </w:rPr>
  </w:style>
  <w:style w:type="character" w:styleId="EndnoteReference">
    <w:name w:val="endnote reference"/>
    <w:uiPriority w:val="99"/>
    <w:semiHidden/>
    <w:unhideWhenUsed/>
    <w:rsid w:val="00F44833"/>
    <w:rPr>
      <w:vertAlign w:val="superscript"/>
    </w:rPr>
  </w:style>
  <w:style w:type="character" w:customStyle="1" w:styleId="Heading2Char">
    <w:name w:val="Heading 2 Char"/>
    <w:link w:val="Heading2"/>
    <w:uiPriority w:val="9"/>
    <w:semiHidden/>
    <w:rsid w:val="00D52948"/>
    <w:rPr>
      <w:rFonts w:ascii="Calibri Light" w:eastAsia="Times New Roman" w:hAnsi="Calibri Light" w:cs="Times New Roman"/>
      <w:b/>
      <w:bCs/>
      <w:i/>
      <w:iCs/>
      <w:sz w:val="28"/>
      <w:szCs w:val="28"/>
      <w:lang w:val="ka-GE" w:eastAsia="en-US"/>
    </w:rPr>
  </w:style>
  <w:style w:type="paragraph" w:styleId="NormalWeb">
    <w:name w:val="Normal (Web)"/>
    <w:basedOn w:val="Normal"/>
    <w:uiPriority w:val="99"/>
    <w:semiHidden/>
    <w:unhideWhenUsed/>
    <w:rsid w:val="00F27BA0"/>
    <w:pPr>
      <w:spacing w:before="100" w:beforeAutospacing="1" w:after="100" w:afterAutospacing="1" w:line="240" w:lineRule="auto"/>
    </w:pPr>
    <w:rPr>
      <w:rFonts w:ascii="Times New Roman" w:eastAsia="Times New Roman" w:hAnsi="Times New Roman"/>
      <w:sz w:val="24"/>
      <w:szCs w:val="24"/>
      <w:lang w:eastAsia="ka-GE"/>
    </w:rPr>
  </w:style>
  <w:style w:type="paragraph" w:styleId="Revision">
    <w:name w:val="Revision"/>
    <w:hidden/>
    <w:uiPriority w:val="99"/>
    <w:semiHidden/>
    <w:rsid w:val="00A22C39"/>
    <w:rPr>
      <w:sz w:val="22"/>
      <w:szCs w:val="22"/>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315147">
      <w:bodyDiv w:val="1"/>
      <w:marLeft w:val="0"/>
      <w:marRight w:val="0"/>
      <w:marTop w:val="0"/>
      <w:marBottom w:val="0"/>
      <w:divBdr>
        <w:top w:val="none" w:sz="0" w:space="0" w:color="auto"/>
        <w:left w:val="none" w:sz="0" w:space="0" w:color="auto"/>
        <w:bottom w:val="none" w:sz="0" w:space="0" w:color="auto"/>
        <w:right w:val="none" w:sz="0" w:space="0" w:color="auto"/>
      </w:divBdr>
    </w:div>
    <w:div w:id="210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4781</Words>
  <Characters>27255</Characters>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2025-01-11T08:53:00Z</dcterms:created>
  <dcterms:modified xsi:type="dcterms:W3CDTF">2025-01-13T13:14:00Z</dcterms:modified>
</cp:coreProperties>
</file>