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C74E3C2" w:rsidR="003E44A8" w:rsidRPr="007D34F4" w:rsidRDefault="007B5CBC" w:rsidP="007D34F4">
            <w:pPr>
              <w:pStyle w:val="a5"/>
              <w:numPr>
                <w:ilvl w:val="0"/>
                <w:numId w:val="10"/>
              </w:numPr>
              <w:ind w:left="337" w:right="-18"/>
              <w:rPr>
                <w:rFonts w:ascii="Sylfaen" w:hAnsi="Sylfaen"/>
                <w:lang w:val="ka-GE"/>
              </w:rPr>
            </w:pPr>
            <w:permStart w:id="1281835721" w:edGrp="everyone"/>
            <w:r>
              <w:rPr>
                <w:rFonts w:ascii="Sylfaen" w:hAnsi="Sylfaen"/>
                <w:lang w:val="ka-GE"/>
              </w:rPr>
              <w:t>ნატო ქავთარაძე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053DA6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BF20979"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00DDCE3"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4E9FFF9"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F623077"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BA5D506" w:rsidR="00144FCF" w:rsidRPr="007D34F4" w:rsidRDefault="007B5CBC" w:rsidP="007D34F4">
            <w:pPr>
              <w:pStyle w:val="a5"/>
              <w:numPr>
                <w:ilvl w:val="0"/>
                <w:numId w:val="21"/>
              </w:numPr>
              <w:ind w:left="257" w:right="-113" w:hanging="270"/>
              <w:rPr>
                <w:rFonts w:ascii="Sylfaen" w:hAnsi="Sylfaen"/>
                <w:lang w:val="ka-GE"/>
              </w:rPr>
            </w:pPr>
            <w:permStart w:id="676215825" w:edGrp="everyone"/>
            <w:r w:rsidRPr="007B5CBC">
              <w:rPr>
                <w:rFonts w:ascii="Sylfaen" w:hAnsi="Sylfaen"/>
                <w:b/>
                <w:bCs/>
                <w:lang w:val="ka-GE"/>
              </w:rPr>
              <w:t>„</w:t>
            </w:r>
            <w:r w:rsidRPr="007B5CBC">
              <w:rPr>
                <w:rFonts w:ascii="Sylfaen" w:hAnsi="Sylfaen"/>
                <w:b/>
                <w:bCs/>
              </w:rPr>
              <w:t>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r w:rsidRPr="007B5CBC">
              <w:rPr>
                <w:rFonts w:ascii="Sylfaen" w:hAnsi="Sylfaen"/>
                <w:b/>
                <w:bCs/>
                <w:lang w:val="ka-GE"/>
              </w:rPr>
              <w:t>“ </w:t>
            </w:r>
            <w:r w:rsidRPr="007B5CBC">
              <w:rPr>
                <w:rFonts w:ascii="Sylfaen" w:hAnsi="Sylfaen"/>
                <w:b/>
                <w:bCs/>
              </w:rPr>
              <w:t>საქართველოს კანონში ცვლილების შეტანის თაობაზე</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7F0FD7F" w:rsidR="00144FCF" w:rsidRPr="007D34F4" w:rsidRDefault="007B5CBC"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19/04/2011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661D0CE" w:rsidR="00496B05" w:rsidRPr="007D34F4" w:rsidRDefault="007B5CB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007873F" w:rsidR="00496B05" w:rsidRPr="007D34F4" w:rsidRDefault="007B5CBC"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 N</w:t>
            </w:r>
            <w:r w:rsidR="00732146">
              <w:rPr>
                <w:rFonts w:ascii="Sylfaen" w:hAnsi="Sylfaen"/>
                <w:lang w:val="ka-GE"/>
              </w:rPr>
              <w:t>8</w:t>
            </w:r>
            <w:r>
              <w:rPr>
                <w:rFonts w:ascii="Sylfaen" w:hAnsi="Sylfaen"/>
                <w:lang w:val="ka-GE"/>
              </w:rPr>
              <w:t>; 0118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3650575" w:rsidR="002F127B" w:rsidRPr="00B93430" w:rsidRDefault="00732146" w:rsidP="00D650B6">
            <w:pPr>
              <w:spacing w:after="0" w:line="240" w:lineRule="auto"/>
              <w:rPr>
                <w:rFonts w:ascii="Sylfaen" w:hAnsi="Sylfaen"/>
                <w:color w:val="000000"/>
                <w:sz w:val="18"/>
                <w:szCs w:val="18"/>
                <w:lang w:val="ka-GE"/>
              </w:rPr>
            </w:pPr>
            <w:permStart w:id="903088963" w:edGrp="everyone"/>
            <w:r>
              <w:rPr>
                <w:rFonts w:ascii="Sylfaen" w:hAnsi="Sylfaen"/>
                <w:bCs/>
                <w:sz w:val="20"/>
                <w:szCs w:val="20"/>
                <w:shd w:val="clear" w:color="auto" w:fill="EAEAEA"/>
                <w:lang w:val="ka-GE"/>
              </w:rPr>
              <w:t xml:space="preserve">საქართველოს </w:t>
            </w:r>
            <w:r w:rsidRPr="003E3EF4">
              <w:rPr>
                <w:rFonts w:ascii="Sylfaen" w:hAnsi="Sylfaen"/>
                <w:bCs/>
                <w:sz w:val="20"/>
                <w:szCs w:val="20"/>
                <w:shd w:val="clear" w:color="auto" w:fill="EAEAEA"/>
                <w:lang w:val="ka-GE"/>
              </w:rPr>
              <w:t>მოქალაქეთა პოლიტიკური რეპრესიების მსხვერპლად აღიარებისა და რეპრესირებულთა სოციალური დაცვის შესახებ“ საქართველოს კანონში ცვლილების შეტანის თაობაზე</w:t>
            </w:r>
            <w:r w:rsidRPr="003E3EF4">
              <w:rPr>
                <w:rFonts w:ascii="Sylfaen" w:hAnsi="Sylfaen"/>
                <w:bCs/>
                <w:sz w:val="20"/>
                <w:szCs w:val="20"/>
                <w:shd w:val="clear" w:color="auto" w:fill="EAEAEA"/>
              </w:rPr>
              <w:t xml:space="preserve"> </w:t>
            </w:r>
            <w:r w:rsidRPr="003E3EF4">
              <w:rPr>
                <w:rFonts w:ascii="Sylfaen" w:hAnsi="Sylfaen"/>
                <w:bCs/>
                <w:sz w:val="20"/>
                <w:szCs w:val="20"/>
                <w:shd w:val="clear" w:color="auto" w:fill="EAEAEA"/>
                <w:lang w:val="ka-GE"/>
              </w:rPr>
              <w:t>საქართველოს კანონი</w:t>
            </w:r>
            <w:r>
              <w:rPr>
                <w:rFonts w:ascii="Sylfaen" w:hAnsi="Sylfaen"/>
                <w:bCs/>
                <w:sz w:val="20"/>
                <w:szCs w:val="20"/>
                <w:shd w:val="clear" w:color="auto" w:fill="EAEAEA"/>
                <w:lang w:val="ka-GE"/>
              </w:rPr>
              <w:t>ს</w:t>
            </w:r>
            <w:r w:rsidRPr="003E3EF4">
              <w:rPr>
                <w:rFonts w:ascii="Sylfaen" w:hAnsi="Sylfaen"/>
                <w:bCs/>
                <w:sz w:val="20"/>
                <w:szCs w:val="20"/>
                <w:shd w:val="clear" w:color="auto" w:fill="EAEAEA"/>
                <w:lang w:val="ka-GE"/>
              </w:rPr>
              <w:t xml:space="preserve"> (</w:t>
            </w:r>
            <w:r w:rsidRPr="003E3EF4">
              <w:rPr>
                <w:rFonts w:ascii="Sylfaen" w:hAnsi="Sylfaen"/>
                <w:sz w:val="20"/>
                <w:szCs w:val="20"/>
                <w:lang w:val="ka-GE"/>
              </w:rPr>
              <w:t>2011 წლის 19 აპრილი, #4562</w:t>
            </w:r>
            <w:r w:rsidRPr="003E3EF4">
              <w:rPr>
                <w:rFonts w:ascii="Sylfaen" w:hAnsi="Sylfaen"/>
                <w:sz w:val="20"/>
                <w:szCs w:val="20"/>
              </w:rPr>
              <w:t>-I</w:t>
            </w:r>
            <w:r w:rsidRPr="003E3EF4">
              <w:rPr>
                <w:rFonts w:ascii="Sylfaen" w:hAnsi="Sylfaen"/>
                <w:sz w:val="20"/>
                <w:szCs w:val="20"/>
                <w:lang w:val="ka-GE"/>
              </w:rPr>
              <w:t>ს)</w:t>
            </w:r>
            <w:r w:rsidRPr="003E3EF4">
              <w:rPr>
                <w:rFonts w:ascii="Sylfaen" w:hAnsi="Sylfaen" w:cs="Sylfaen"/>
                <w:sz w:val="20"/>
                <w:szCs w:val="20"/>
                <w:lang w:val="ka-GE"/>
              </w:rPr>
              <w:t xml:space="preserve"> </w:t>
            </w:r>
            <w:r w:rsidRPr="003E3EF4">
              <w:rPr>
                <w:rFonts w:ascii="Sylfaen" w:hAnsi="Sylfaen"/>
                <w:color w:val="000000"/>
                <w:sz w:val="20"/>
                <w:szCs w:val="20"/>
                <w:lang w:val="ka-GE"/>
              </w:rPr>
              <w:t>მე -2 მუხლი.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31C57653" w:rsidR="002F127B" w:rsidRPr="00B93430" w:rsidRDefault="00732146"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მე-18 მუხლის მე-4 პუნქტი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24BEB1A" w:rsidR="00474A54" w:rsidRPr="00B93430" w:rsidRDefault="00732146" w:rsidP="00433931">
            <w:pPr>
              <w:tabs>
                <w:tab w:val="left" w:pos="1644"/>
              </w:tabs>
              <w:rPr>
                <w:rFonts w:ascii="Sylfaen" w:hAnsi="Sylfaen"/>
              </w:rPr>
            </w:pPr>
            <w:permStart w:id="2105233546" w:edGrp="everyone" w:colFirst="0" w:colLast="0"/>
            <w:r w:rsidRPr="00DF74ED">
              <w:rPr>
                <w:rFonts w:ascii="Sylfaen" w:hAnsi="Sylfaen"/>
                <w:sz w:val="20"/>
                <w:szCs w:val="20"/>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DF74ED">
              <w:rPr>
                <w:rFonts w:ascii="Sylfaen" w:hAnsi="Sylfaen"/>
                <w:sz w:val="20"/>
                <w:szCs w:val="20"/>
                <w:vertAlign w:val="superscript"/>
                <w:lang w:val="ka-GE"/>
              </w:rPr>
              <w:t>1</w:t>
            </w:r>
            <w:r w:rsidRPr="00DF74ED">
              <w:rPr>
                <w:rFonts w:ascii="Sylfaen" w:hAnsi="Sylfaen"/>
                <w:sz w:val="20"/>
                <w:szCs w:val="20"/>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D998FEC" w14:textId="77777777" w:rsidR="00E94729" w:rsidRPr="0082637A" w:rsidRDefault="00E94729" w:rsidP="00E94729">
            <w:pPr>
              <w:ind w:right="-18"/>
              <w:jc w:val="both"/>
              <w:rPr>
                <w:rFonts w:ascii="Sylfaen" w:hAnsi="Sylfaen"/>
                <w:lang w:val="ka-GE"/>
              </w:rPr>
            </w:pPr>
            <w:permStart w:id="1105795011" w:edGrp="everyone" w:colFirst="0" w:colLast="0"/>
            <w:r w:rsidRPr="0082637A">
              <w:rPr>
                <w:rFonts w:ascii="Sylfaen" w:hAnsi="Sylfaen"/>
                <w:lang w:val="ka-GE"/>
              </w:rPr>
              <w:t>ა) სარჩელი ფორმით და შინაარსით შეესაბამება „</w:t>
            </w:r>
            <w:r>
              <w:rPr>
                <w:rFonts w:ascii="Sylfaen" w:hAnsi="Sylfaen"/>
                <w:lang w:val="ka-GE"/>
              </w:rPr>
              <w:t xml:space="preserve">საქართველოს </w:t>
            </w:r>
            <w:r w:rsidRPr="0082637A">
              <w:rPr>
                <w:rFonts w:ascii="Sylfaen" w:hAnsi="Sylfaen"/>
                <w:lang w:val="ka-GE"/>
              </w:rPr>
              <w:t>საკონსტიტუციო სასამართლოს შესახებ“ საქართველოს ორგანული კანონის 31</w:t>
            </w:r>
            <w:r w:rsidRPr="0082637A">
              <w:rPr>
                <w:rFonts w:ascii="Sylfaen" w:hAnsi="Sylfaen"/>
                <w:vertAlign w:val="superscript"/>
                <w:lang w:val="ka-GE"/>
              </w:rPr>
              <w:t>1</w:t>
            </w:r>
            <w:r w:rsidRPr="0082637A">
              <w:rPr>
                <w:rFonts w:ascii="Sylfaen" w:hAnsi="Sylfaen"/>
                <w:lang w:val="ka-GE"/>
              </w:rPr>
              <w:t xml:space="preserve"> მუხლის მოთხოვნებს;</w:t>
            </w:r>
          </w:p>
          <w:p w14:paraId="573312F8" w14:textId="77777777" w:rsidR="00E94729" w:rsidRPr="0082637A" w:rsidRDefault="00E94729" w:rsidP="00E94729">
            <w:pPr>
              <w:ind w:right="-18"/>
              <w:jc w:val="both"/>
              <w:rPr>
                <w:rFonts w:ascii="Sylfaen" w:hAnsi="Sylfaen"/>
                <w:lang w:val="ka-GE"/>
              </w:rPr>
            </w:pPr>
          </w:p>
          <w:p w14:paraId="5D6BA3CF" w14:textId="77777777" w:rsidR="00E94729" w:rsidRPr="0082637A" w:rsidRDefault="00E94729" w:rsidP="00E94729">
            <w:pPr>
              <w:ind w:right="-18"/>
              <w:jc w:val="both"/>
              <w:rPr>
                <w:rFonts w:ascii="Sylfaen" w:hAnsi="Sylfaen"/>
                <w:lang w:val="ka-GE"/>
              </w:rPr>
            </w:pPr>
            <w:r w:rsidRPr="0082637A">
              <w:rPr>
                <w:rFonts w:ascii="Sylfaen" w:hAnsi="Sylfaen"/>
                <w:lang w:val="ka-GE"/>
              </w:rPr>
              <w:t>ბ) სარჩელი შეტანილია უფლებამოსილი პირის მიერ:</w:t>
            </w:r>
          </w:p>
          <w:p w14:paraId="06C04226" w14:textId="277735E7" w:rsidR="00352FDF" w:rsidRPr="000829D7" w:rsidRDefault="00127495" w:rsidP="00352FDF">
            <w:pPr>
              <w:ind w:firstLine="709"/>
              <w:jc w:val="both"/>
              <w:rPr>
                <w:rFonts w:ascii="Sylfaen" w:hAnsi="Sylfaen"/>
              </w:rPr>
            </w:pPr>
            <w:proofErr w:type="gramStart"/>
            <w:r w:rsidRPr="000829D7">
              <w:rPr>
                <w:rFonts w:ascii="Sylfaen" w:hAnsi="Sylfaen"/>
              </w:rPr>
              <w:t>კონსტიტუციურ</w:t>
            </w:r>
            <w:proofErr w:type="gramEnd"/>
            <w:r w:rsidRPr="000829D7">
              <w:rPr>
                <w:rFonts w:ascii="Sylfaen" w:hAnsi="Sylfaen"/>
              </w:rPr>
              <w:t xml:space="preserve"> სარჩელს თან ერთვის დოკუმენტაცია, რომელიც ადასტურებს, რომ </w:t>
            </w:r>
            <w:r w:rsidR="00E94729" w:rsidRPr="000829D7">
              <w:rPr>
                <w:rFonts w:ascii="Sylfaen" w:hAnsi="Sylfaen"/>
              </w:rPr>
              <w:t>მოსარჩელის</w:t>
            </w:r>
            <w:r w:rsidRPr="000829D7">
              <w:rPr>
                <w:rFonts w:ascii="Sylfaen" w:hAnsi="Sylfaen"/>
              </w:rPr>
              <w:t>, ნატო ქავთარაძის</w:t>
            </w:r>
            <w:r w:rsidR="00E94729" w:rsidRPr="000829D7">
              <w:rPr>
                <w:rFonts w:ascii="Sylfaen" w:hAnsi="Sylfaen"/>
              </w:rPr>
              <w:t xml:space="preserve"> მამას ნიკოლოზ სოფრომის ძე ქავთარაძეს 1940 </w:t>
            </w:r>
            <w:r w:rsidR="00352FDF" w:rsidRPr="000829D7">
              <w:rPr>
                <w:rFonts w:ascii="Sylfaen" w:hAnsi="Sylfaen"/>
              </w:rPr>
              <w:t>წელს</w:t>
            </w:r>
            <w:r w:rsidR="00E94729" w:rsidRPr="000829D7">
              <w:rPr>
                <w:rFonts w:ascii="Sylfaen" w:hAnsi="Sylfaen"/>
              </w:rPr>
              <w:t xml:space="preserve"> სისხლის სამართლის კოდექსის 58-10 (აგიტაცია ან პროპაგანდა, რომელიც შეიცავს საბჭოთა ხელისუფლების დამხობას) და 58-11 (ყოველგვარი ორგანიზებული ქმედება მიმართული დანაშაულის მო</w:t>
            </w:r>
            <w:r w:rsidR="00CC05BB">
              <w:rPr>
                <w:rFonts w:ascii="Sylfaen" w:hAnsi="Sylfaen"/>
              </w:rPr>
              <w:t>მ</w:t>
            </w:r>
            <w:r w:rsidR="00E94729" w:rsidRPr="000829D7">
              <w:rPr>
                <w:rFonts w:ascii="Sylfaen" w:hAnsi="Sylfaen"/>
              </w:rPr>
              <w:t xml:space="preserve">ზადებისა და ჩატარებისთვის) მუხლების საფუძველზე მიესაჯა  თავისუფლების აღკვეთა ციმბირში გადასახლებით. </w:t>
            </w:r>
            <w:r w:rsidR="00352FDF" w:rsidRPr="000829D7">
              <w:rPr>
                <w:rFonts w:ascii="Sylfaen" w:hAnsi="Sylfaen"/>
                <w:lang w:val="ka-GE"/>
              </w:rPr>
              <w:t>სარჩელს ასევე თან ერთვის დოკუმენტაცია, რომლითაც დგინდება, რომ საბრალდებო საქმე ხელახლა განხილული იქნა საქართველოს სსრ უმაღლესი სასამართლოს მიერ 1960 წლის 8 ივნისს რის შედეგადაც საქმის წარმოება შეწყდა და დანაშაულის არარსებობის გამო მოხდა ნიკოლოზ სოფრომის ძე ქავთარაძის რეაბილიტაცია. აღნიშნული დოკუმენტაციი</w:t>
            </w:r>
            <w:r w:rsidR="009A7181">
              <w:rPr>
                <w:rFonts w:ascii="Sylfaen" w:hAnsi="Sylfaen"/>
                <w:lang w:val="ka-GE"/>
              </w:rPr>
              <w:t>დან ნათელია</w:t>
            </w:r>
            <w:r w:rsidR="00CC05BB">
              <w:rPr>
                <w:rFonts w:ascii="Sylfaen" w:hAnsi="Sylfaen"/>
                <w:lang w:val="ka-GE"/>
              </w:rPr>
              <w:t>,</w:t>
            </w:r>
            <w:r w:rsidR="00352FDF" w:rsidRPr="000829D7">
              <w:rPr>
                <w:rFonts w:ascii="Sylfaen" w:hAnsi="Sylfaen"/>
                <w:lang w:val="ka-GE"/>
              </w:rPr>
              <w:t xml:space="preserve"> რომ </w:t>
            </w:r>
            <w:r w:rsidR="00352FDF" w:rsidRPr="000829D7">
              <w:rPr>
                <w:rFonts w:ascii="Sylfaen" w:hAnsi="Sylfaen"/>
              </w:rPr>
              <w:t xml:space="preserve">მოსარჩელის მამამ პოლიტიკური რეპრესია განიცადა ყოფილი სსრკ-ს ტერიტორიაზე 1921 წლის თებერვლიდან 1990 წლის 28 ოქტომბრამდე პერიოდში. </w:t>
            </w:r>
            <w:proofErr w:type="gramStart"/>
            <w:r w:rsidR="00352FDF" w:rsidRPr="000829D7">
              <w:rPr>
                <w:rFonts w:ascii="Sylfaen" w:hAnsi="Sylfaen"/>
              </w:rPr>
              <w:t>შესაბამისად</w:t>
            </w:r>
            <w:proofErr w:type="gramEnd"/>
            <w:r w:rsidR="00CC05BB">
              <w:rPr>
                <w:rFonts w:ascii="Sylfaen" w:hAnsi="Sylfaen"/>
              </w:rPr>
              <w:t>,</w:t>
            </w:r>
            <w:r w:rsidR="00352FDF" w:rsidRPr="000829D7">
              <w:rPr>
                <w:rFonts w:ascii="Sylfaen" w:hAnsi="Sylfaen"/>
              </w:rPr>
              <w:t xml:space="preserve"> იგი ექცევა </w:t>
            </w:r>
            <w:r w:rsidR="00352FDF" w:rsidRPr="000829D7">
              <w:rPr>
                <w:rFonts w:ascii="Sylfaen" w:hAnsi="Sylfaen"/>
                <w:lang w:val="ka-GE"/>
              </w:rPr>
              <w:t>„საქართველოს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 საქართველოს კანონის</w:t>
            </w:r>
            <w:r w:rsidR="00352FDF" w:rsidRPr="000829D7">
              <w:rPr>
                <w:rFonts w:ascii="Sylfaen" w:hAnsi="Sylfaen"/>
              </w:rPr>
              <w:t xml:space="preserve"> მე-4 მუხლით გათვალისწინებულ პირთა შორის და წარმოადგენს პოლიტიკური რეპრესიების მსხვერპლს</w:t>
            </w:r>
            <w:r w:rsidR="00CC05BB">
              <w:rPr>
                <w:rFonts w:ascii="Sylfaen" w:hAnsi="Sylfaen"/>
              </w:rPr>
              <w:t>,</w:t>
            </w:r>
            <w:r w:rsidR="00352FDF" w:rsidRPr="000829D7">
              <w:rPr>
                <w:rFonts w:ascii="Sylfaen" w:hAnsi="Sylfaen"/>
              </w:rPr>
              <w:t xml:space="preserve"> რომლის უფლებებიც დაირღვა სახელმწიფოს უკანონო ქმედებების შედეგად. </w:t>
            </w:r>
          </w:p>
          <w:p w14:paraId="7EDCBDBE" w14:textId="3DD9DAA4" w:rsidR="00E94729" w:rsidRPr="00BE01AE" w:rsidRDefault="00352FDF" w:rsidP="006B3B75">
            <w:pPr>
              <w:ind w:firstLine="709"/>
              <w:jc w:val="both"/>
              <w:rPr>
                <w:rFonts w:ascii="Sylfaen" w:hAnsi="Sylfaen"/>
              </w:rPr>
            </w:pPr>
            <w:r>
              <w:rPr>
                <w:rFonts w:ascii="Sylfaen" w:hAnsi="Sylfaen"/>
              </w:rPr>
              <w:t>“</w:t>
            </w:r>
            <w:proofErr w:type="gramStart"/>
            <w:r w:rsidR="00E94729" w:rsidRPr="00BE01AE">
              <w:rPr>
                <w:rFonts w:ascii="Sylfaen" w:hAnsi="Sylfaen"/>
              </w:rPr>
              <w:t>საქართველოს</w:t>
            </w:r>
            <w:proofErr w:type="gramEnd"/>
            <w:r w:rsidR="00E94729" w:rsidRPr="00BE01AE">
              <w:rPr>
                <w:rFonts w:ascii="Sylfaen" w:hAnsi="Sylfaen"/>
              </w:rPr>
              <w:t xml:space="preserve"> 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r>
              <w:rPr>
                <w:rFonts w:ascii="Sylfaen" w:hAnsi="Sylfaen"/>
              </w:rPr>
              <w:t>”</w:t>
            </w:r>
            <w:r w:rsidR="00E94729" w:rsidRPr="00BE01AE">
              <w:rPr>
                <w:rFonts w:ascii="Sylfaen" w:hAnsi="Sylfaen"/>
              </w:rPr>
              <w:t xml:space="preserve"> საქართველოს</w:t>
            </w:r>
            <w:r w:rsidR="006B3B75">
              <w:rPr>
                <w:rFonts w:ascii="Sylfaen" w:hAnsi="Sylfaen"/>
              </w:rPr>
              <w:t xml:space="preserve"> კანონით</w:t>
            </w:r>
            <w:r w:rsidR="00E94729" w:rsidRPr="00BE01AE">
              <w:rPr>
                <w:rFonts w:ascii="Sylfaen" w:hAnsi="Sylfaen"/>
              </w:rPr>
              <w:t xml:space="preserve"> გათვალისწინებულია</w:t>
            </w:r>
            <w:r w:rsidR="006B3B75">
              <w:rPr>
                <w:rFonts w:ascii="Sylfaen" w:hAnsi="Sylfaen"/>
              </w:rPr>
              <w:t xml:space="preserve"> </w:t>
            </w:r>
            <w:r w:rsidR="006B3B75" w:rsidRPr="00BE01AE">
              <w:rPr>
                <w:rFonts w:ascii="Sylfaen" w:hAnsi="Sylfaen"/>
              </w:rPr>
              <w:t xml:space="preserve">პოლიტიკური რეპრესიების მსხვერპლად აღიარების წესი </w:t>
            </w:r>
            <w:r w:rsidR="006B3B75">
              <w:rPr>
                <w:rFonts w:ascii="Sylfaen" w:hAnsi="Sylfaen"/>
              </w:rPr>
              <w:t>და</w:t>
            </w:r>
            <w:r w:rsidR="00E94729" w:rsidRPr="00BE01AE">
              <w:rPr>
                <w:rFonts w:ascii="Sylfaen" w:hAnsi="Sylfaen"/>
              </w:rPr>
              <w:t xml:space="preserve"> რეპრესირებულ პირთა ქონებრივი უფლების აღდგენის შესაძლებლობა</w:t>
            </w:r>
            <w:r w:rsidR="006B3B75">
              <w:rPr>
                <w:rFonts w:ascii="Sylfaen" w:hAnsi="Sylfaen"/>
              </w:rPr>
              <w:t xml:space="preserve">. </w:t>
            </w:r>
            <w:proofErr w:type="gramStart"/>
            <w:r w:rsidR="006B3B75">
              <w:rPr>
                <w:rFonts w:ascii="Sylfaen" w:hAnsi="Sylfaen"/>
              </w:rPr>
              <w:t>აღნიშნული</w:t>
            </w:r>
            <w:proofErr w:type="gramEnd"/>
            <w:r w:rsidR="00E94729" w:rsidRPr="00BE01AE">
              <w:rPr>
                <w:rFonts w:ascii="Sylfaen" w:hAnsi="Sylfaen"/>
              </w:rPr>
              <w:t xml:space="preserve"> კანონი</w:t>
            </w:r>
            <w:r w:rsidR="006B3B75">
              <w:rPr>
                <w:rFonts w:ascii="Sylfaen" w:hAnsi="Sylfaen"/>
              </w:rPr>
              <w:t>თ ასევე განისაზღვრება იმ პირთა წრე, რომელთაც უფლება აქვთ შესაბამი</w:t>
            </w:r>
            <w:r w:rsidR="009A7181">
              <w:rPr>
                <w:rFonts w:ascii="Sylfaen" w:hAnsi="Sylfaen"/>
              </w:rPr>
              <w:t>ს</w:t>
            </w:r>
            <w:r w:rsidR="006B3B75">
              <w:rPr>
                <w:rFonts w:ascii="Sylfaen" w:hAnsi="Sylfaen"/>
              </w:rPr>
              <w:t xml:space="preserve">ი სარჩელით მიმართონ სასამართლოს. </w:t>
            </w:r>
            <w:proofErr w:type="gramStart"/>
            <w:r w:rsidR="006B3B75">
              <w:rPr>
                <w:rFonts w:ascii="Sylfaen" w:hAnsi="Sylfaen"/>
              </w:rPr>
              <w:t>კერძოდ</w:t>
            </w:r>
            <w:proofErr w:type="gramEnd"/>
            <w:r w:rsidR="006B3B75">
              <w:rPr>
                <w:rFonts w:ascii="Sylfaen" w:hAnsi="Sylfaen"/>
              </w:rPr>
              <w:t>,</w:t>
            </w:r>
            <w:r w:rsidR="000829D7">
              <w:rPr>
                <w:rFonts w:ascii="Sylfaen" w:hAnsi="Sylfaen"/>
              </w:rPr>
              <w:t xml:space="preserve"> მოცემული კანონის</w:t>
            </w:r>
            <w:r w:rsidR="00E94729" w:rsidRPr="00BE01AE">
              <w:rPr>
                <w:rFonts w:ascii="Sylfaen" w:hAnsi="Sylfaen"/>
              </w:rPr>
              <w:t xml:space="preserve"> მე-7 მუხლის ადგენს:</w:t>
            </w:r>
            <w:r w:rsidR="00E94729" w:rsidRPr="005F679A">
              <w:rPr>
                <w:rFonts w:ascii="Sylfaen" w:hAnsi="Sylfaen"/>
              </w:rPr>
              <w:t xml:space="preserve"> </w:t>
            </w:r>
            <w:r w:rsidR="00E94729" w:rsidRPr="00BE01AE">
              <w:rPr>
                <w:rFonts w:ascii="Sylfaen" w:hAnsi="Sylfaen"/>
              </w:rPr>
              <w:t>“</w:t>
            </w:r>
            <w:r w:rsidR="00E94729" w:rsidRPr="005F679A">
              <w:rPr>
                <w:rFonts w:ascii="Sylfaen" w:hAnsi="Sylfaen"/>
              </w:rPr>
              <w:t>განცხადებას პოლიტიკური რეპრესიის მსხვერპლად აღიარების შესახებ უშუალოდ რეპრესირებული პირი, მისი კანონით მემკვიდრე ან მათი წარმომადგენელი წარუდგენს იმ სასამართლოს, რომლის სამოქმედო ტერიტორიაზეც მუდმივად ან დროებით ცხოვრობს რეპრესირებული პირი ან მისი კანონით მემკვიდრე.</w:t>
            </w:r>
            <w:r w:rsidR="00E94729" w:rsidRPr="00BE01AE">
              <w:rPr>
                <w:rFonts w:ascii="Sylfaen" w:hAnsi="Sylfaen"/>
              </w:rPr>
              <w:t>”</w:t>
            </w:r>
            <w:r w:rsidR="006B3B75">
              <w:rPr>
                <w:rStyle w:val="a8"/>
                <w:rFonts w:ascii="Sylfaen" w:hAnsi="Sylfaen"/>
              </w:rPr>
              <w:footnoteReference w:id="6"/>
            </w:r>
            <w:r w:rsidR="00E94729" w:rsidRPr="00BE01AE">
              <w:rPr>
                <w:rFonts w:ascii="Sylfaen" w:hAnsi="Sylfaen"/>
              </w:rPr>
              <w:t xml:space="preserve"> </w:t>
            </w:r>
            <w:proofErr w:type="gramStart"/>
            <w:r w:rsidR="00E94729" w:rsidRPr="00BE01AE">
              <w:rPr>
                <w:rFonts w:ascii="Sylfaen" w:hAnsi="Sylfaen"/>
              </w:rPr>
              <w:t>ამავე</w:t>
            </w:r>
            <w:proofErr w:type="gramEnd"/>
            <w:r w:rsidR="00E94729" w:rsidRPr="00BE01AE">
              <w:rPr>
                <w:rFonts w:ascii="Sylfaen" w:hAnsi="Sylfaen"/>
              </w:rPr>
              <w:t xml:space="preserve"> კანონის მე-9 მუხლის მე-2 პუნქტის თანახმად: “</w:t>
            </w:r>
            <w:r w:rsidR="00E94729" w:rsidRPr="005F679A">
              <w:rPr>
                <w:rFonts w:ascii="Sylfaen" w:hAnsi="Sylfaen"/>
              </w:rPr>
              <w:t>ფულადი კომპენსაციის მიღების შესახებ სარჩელს უშუალოდ რეპრესირებული პირი, მისი პირველი რიგის მემკვიდრე ან მათი წარმომადგენელი წარუდგენს თბილისის ან ქუთაისის საქალაქო სასამართლოს.</w:t>
            </w:r>
            <w:r w:rsidR="006B3B75">
              <w:rPr>
                <w:rFonts w:ascii="Sylfaen" w:hAnsi="Sylfaen"/>
              </w:rPr>
              <w:t>”</w:t>
            </w:r>
            <w:r w:rsidR="006B3B75">
              <w:rPr>
                <w:rStyle w:val="a8"/>
                <w:rFonts w:ascii="Sylfaen" w:hAnsi="Sylfaen"/>
              </w:rPr>
              <w:footnoteReference w:id="7"/>
            </w:r>
            <w:r w:rsidR="00E94729">
              <w:rPr>
                <w:rFonts w:ascii="Sylfaen" w:hAnsi="Sylfaen"/>
              </w:rPr>
              <w:t xml:space="preserve"> </w:t>
            </w:r>
          </w:p>
          <w:p w14:paraId="75682AFD" w14:textId="7A5C2C6A" w:rsidR="00E94729" w:rsidRPr="00BE01AE" w:rsidRDefault="006B3B75" w:rsidP="00E94729">
            <w:pPr>
              <w:ind w:firstLine="709"/>
              <w:jc w:val="both"/>
              <w:rPr>
                <w:rFonts w:ascii="Sylfaen" w:hAnsi="Sylfaen"/>
              </w:rPr>
            </w:pPr>
            <w:proofErr w:type="gramStart"/>
            <w:r>
              <w:rPr>
                <w:rFonts w:ascii="Sylfaen" w:hAnsi="Sylfaen"/>
              </w:rPr>
              <w:t>კონსტიტუციურ</w:t>
            </w:r>
            <w:proofErr w:type="gramEnd"/>
            <w:r>
              <w:rPr>
                <w:rFonts w:ascii="Sylfaen" w:hAnsi="Sylfaen"/>
              </w:rPr>
              <w:t xml:space="preserve"> სარჩელზე თანდართული დოკუმენტაციით დასტურდება</w:t>
            </w:r>
            <w:r w:rsidR="00CC05BB">
              <w:rPr>
                <w:rFonts w:ascii="Sylfaen" w:hAnsi="Sylfaen"/>
              </w:rPr>
              <w:t>,</w:t>
            </w:r>
            <w:r>
              <w:rPr>
                <w:rFonts w:ascii="Sylfaen" w:hAnsi="Sylfaen"/>
              </w:rPr>
              <w:t xml:space="preserve"> რომ </w:t>
            </w:r>
            <w:r w:rsidR="00E94729" w:rsidRPr="00BE01AE">
              <w:rPr>
                <w:rFonts w:ascii="Sylfaen" w:hAnsi="Sylfaen"/>
              </w:rPr>
              <w:t>მოსარჩელე ნატ</w:t>
            </w:r>
            <w:r w:rsidR="0001162B">
              <w:rPr>
                <w:rFonts w:ascii="Sylfaen" w:hAnsi="Sylfaen"/>
              </w:rPr>
              <w:t>ო</w:t>
            </w:r>
            <w:r w:rsidR="00E94729" w:rsidRPr="00BE01AE">
              <w:rPr>
                <w:rFonts w:ascii="Sylfaen" w:hAnsi="Sylfaen"/>
              </w:rPr>
              <w:t xml:space="preserve"> ქავთარაძე არის რეპრესირებული პირის ნიკოლოზ სოფრომის-ძე ქავთრაძის </w:t>
            </w:r>
            <w:r w:rsidR="00E94729">
              <w:rPr>
                <w:rFonts w:ascii="Sylfaen" w:hAnsi="Sylfaen"/>
              </w:rPr>
              <w:t>პირველი რიგის მემკვიდ</w:t>
            </w:r>
            <w:r w:rsidR="000829D7">
              <w:rPr>
                <w:rFonts w:ascii="Sylfaen" w:hAnsi="Sylfaen"/>
              </w:rPr>
              <w:t>რე</w:t>
            </w:r>
            <w:r>
              <w:rPr>
                <w:rFonts w:ascii="Sylfaen" w:hAnsi="Sylfaen"/>
              </w:rPr>
              <w:t xml:space="preserve">. </w:t>
            </w:r>
            <w:proofErr w:type="gramStart"/>
            <w:r>
              <w:rPr>
                <w:rFonts w:ascii="Sylfaen" w:hAnsi="Sylfaen"/>
              </w:rPr>
              <w:t>შესაბამისად</w:t>
            </w:r>
            <w:proofErr w:type="gramEnd"/>
            <w:r w:rsidR="00CC05BB">
              <w:rPr>
                <w:rFonts w:ascii="Sylfaen" w:hAnsi="Sylfaen"/>
              </w:rPr>
              <w:t>,</w:t>
            </w:r>
            <w:r>
              <w:rPr>
                <w:rFonts w:ascii="Sylfaen" w:hAnsi="Sylfaen"/>
              </w:rPr>
              <w:t xml:space="preserve"> მოსარჩელე წარმოადგენს მამის პოლიტიკური რეპრესიის მსხვერპლად აღიარების მოთხოვნითა და ფულადი კომპენსაციის მიღების მოთხოვნით სასამრთლოსთვის მიმართვის უფლების მქონე პირს.</w:t>
            </w:r>
            <w:r w:rsidR="00E94729" w:rsidRPr="00BE01AE">
              <w:rPr>
                <w:rFonts w:ascii="Sylfaen" w:hAnsi="Sylfaen"/>
              </w:rPr>
              <w:t xml:space="preserve"> </w:t>
            </w:r>
          </w:p>
          <w:p w14:paraId="7750A3B1" w14:textId="3DBFB924" w:rsidR="00E94729" w:rsidRPr="00BE01AE" w:rsidRDefault="000829D7" w:rsidP="009A7181">
            <w:pPr>
              <w:ind w:firstLine="709"/>
              <w:jc w:val="both"/>
              <w:rPr>
                <w:rFonts w:ascii="Sylfaen" w:hAnsi="Sylfaen"/>
              </w:rPr>
            </w:pPr>
            <w:r>
              <w:rPr>
                <w:rFonts w:ascii="Sylfaen" w:hAnsi="Sylfaen"/>
              </w:rPr>
              <w:lastRenderedPageBreak/>
              <w:t>სარჩელზე თანდართული დოკუმენტაციით ასევე დასტურდება ის ფაქტი, რომ</w:t>
            </w:r>
            <w:r w:rsidR="00E94729" w:rsidRPr="00BE01AE">
              <w:rPr>
                <w:rFonts w:ascii="Sylfaen" w:hAnsi="Sylfaen"/>
              </w:rPr>
              <w:t xml:space="preserve"> ნატ</w:t>
            </w:r>
            <w:r>
              <w:rPr>
                <w:rFonts w:ascii="Sylfaen" w:hAnsi="Sylfaen"/>
              </w:rPr>
              <w:t>ო</w:t>
            </w:r>
            <w:r w:rsidR="00E94729" w:rsidRPr="00BE01AE">
              <w:rPr>
                <w:rFonts w:ascii="Sylfaen" w:hAnsi="Sylfaen"/>
              </w:rPr>
              <w:t xml:space="preserve"> ქავთარაძემ 2016 წლის 11 აგვისტოს განც</w:t>
            </w:r>
            <w:r w:rsidR="00CC05BB">
              <w:rPr>
                <w:rFonts w:ascii="Sylfaen" w:hAnsi="Sylfaen"/>
              </w:rPr>
              <w:t>ხ</w:t>
            </w:r>
            <w:r w:rsidR="00E94729" w:rsidRPr="00BE01AE">
              <w:rPr>
                <w:rFonts w:ascii="Sylfaen" w:hAnsi="Sylfaen"/>
              </w:rPr>
              <w:t xml:space="preserve">ადებით მიმართა თბილისის საქალაქო სასამართლოს ადმინისტრაციულ საქმეთა კოლეგიას და მოითხოვა მამის - ნიკოლოზ </w:t>
            </w:r>
            <w:r w:rsidR="00CC05BB">
              <w:rPr>
                <w:rFonts w:ascii="Sylfaen" w:hAnsi="Sylfaen"/>
              </w:rPr>
              <w:t xml:space="preserve">სოფრომის ძე </w:t>
            </w:r>
            <w:r w:rsidR="00E94729" w:rsidRPr="00BE01AE">
              <w:rPr>
                <w:rFonts w:ascii="Sylfaen" w:hAnsi="Sylfaen"/>
              </w:rPr>
              <w:t xml:space="preserve">ქავთარაძის პოლიტიკური რეპრესიის მსხვერპლად აღიარება. </w:t>
            </w:r>
            <w:proofErr w:type="gramStart"/>
            <w:r>
              <w:rPr>
                <w:rFonts w:ascii="Sylfaen" w:hAnsi="Sylfaen"/>
              </w:rPr>
              <w:t>სასამართლოსთვის</w:t>
            </w:r>
            <w:proofErr w:type="gramEnd"/>
            <w:r>
              <w:rPr>
                <w:rFonts w:ascii="Sylfaen" w:hAnsi="Sylfaen"/>
              </w:rPr>
              <w:t xml:space="preserve"> მიმართვისთვის დადგენილი </w:t>
            </w:r>
            <w:r w:rsidR="00E94729">
              <w:rPr>
                <w:rFonts w:ascii="Sylfaen" w:hAnsi="Sylfaen"/>
              </w:rPr>
              <w:t xml:space="preserve">ვადების დარღვევის გამო </w:t>
            </w:r>
            <w:r w:rsidR="00E94729" w:rsidRPr="00BE01AE">
              <w:rPr>
                <w:rFonts w:ascii="Sylfaen" w:hAnsi="Sylfaen"/>
              </w:rPr>
              <w:t>საქმე არ იქნა მიღებული წარმოებაში</w:t>
            </w:r>
            <w:r>
              <w:rPr>
                <w:rFonts w:ascii="Sylfaen" w:hAnsi="Sylfaen"/>
              </w:rPr>
              <w:t xml:space="preserve">. </w:t>
            </w:r>
            <w:r w:rsidR="00E94729" w:rsidRPr="00BE01AE">
              <w:rPr>
                <w:rFonts w:ascii="Sylfaen" w:hAnsi="Sylfaen"/>
              </w:rPr>
              <w:t xml:space="preserve">2016 წლის 19 სექტემბერს მოსარჩელემ მიმართა თბილისის სააპელაციო სასამართლოს ადმინისტრაციულ საქმეთა პალატას. </w:t>
            </w:r>
            <w:proofErr w:type="gramStart"/>
            <w:r w:rsidR="00E94729" w:rsidRPr="00BE01AE">
              <w:rPr>
                <w:rFonts w:ascii="Sylfaen" w:hAnsi="Sylfaen"/>
              </w:rPr>
              <w:t>პალატამ</w:t>
            </w:r>
            <w:proofErr w:type="gramEnd"/>
            <w:r w:rsidR="00E94729" w:rsidRPr="00BE01AE">
              <w:rPr>
                <w:rFonts w:ascii="Sylfaen" w:hAnsi="Sylfaen"/>
              </w:rPr>
              <w:t xml:space="preserve"> </w:t>
            </w:r>
            <w:r>
              <w:rPr>
                <w:rFonts w:ascii="Sylfaen" w:hAnsi="Sylfaen"/>
              </w:rPr>
              <w:t xml:space="preserve">გაიზიარა საქალაქო სასამართლოს პოზიცია და </w:t>
            </w:r>
            <w:r w:rsidR="00E94729" w:rsidRPr="00BE01AE">
              <w:rPr>
                <w:rFonts w:ascii="Sylfaen" w:hAnsi="Sylfaen"/>
              </w:rPr>
              <w:t>არ დააკმაყოფილა ნატ</w:t>
            </w:r>
            <w:r>
              <w:rPr>
                <w:rFonts w:ascii="Sylfaen" w:hAnsi="Sylfaen"/>
              </w:rPr>
              <w:t>ო</w:t>
            </w:r>
            <w:r w:rsidR="00E94729" w:rsidRPr="00BE01AE">
              <w:rPr>
                <w:rFonts w:ascii="Sylfaen" w:hAnsi="Sylfaen"/>
              </w:rPr>
              <w:t xml:space="preserve"> ქავთარაძის მოთხოვნა თბილისის საქალა</w:t>
            </w:r>
            <w:r>
              <w:rPr>
                <w:rFonts w:ascii="Sylfaen" w:hAnsi="Sylfaen"/>
              </w:rPr>
              <w:t>ქ</w:t>
            </w:r>
            <w:r w:rsidR="00E94729" w:rsidRPr="00BE01AE">
              <w:rPr>
                <w:rFonts w:ascii="Sylfaen" w:hAnsi="Sylfaen"/>
              </w:rPr>
              <w:t>ო სასამართლო</w:t>
            </w:r>
            <w:r w:rsidR="00CC05BB">
              <w:rPr>
                <w:rFonts w:ascii="Sylfaen" w:hAnsi="Sylfaen"/>
              </w:rPr>
              <w:t>ს</w:t>
            </w:r>
            <w:r w:rsidR="00E94729" w:rsidRPr="00BE01AE">
              <w:rPr>
                <w:rFonts w:ascii="Sylfaen" w:hAnsi="Sylfaen"/>
              </w:rPr>
              <w:t xml:space="preserve"> ადმინისტრაციულ საქმეთა კოლეგიის 2016 წლის 16 აგვისტოს განჩინების გაუქმების თაობაზე</w:t>
            </w:r>
            <w:r>
              <w:rPr>
                <w:rFonts w:ascii="Sylfaen" w:hAnsi="Sylfaen"/>
              </w:rPr>
              <w:t>.</w:t>
            </w:r>
            <w:r w:rsidR="00E94729">
              <w:rPr>
                <w:rFonts w:ascii="Sylfaen" w:hAnsi="Sylfaen"/>
              </w:rPr>
              <w:t xml:space="preserve"> </w:t>
            </w:r>
            <w:proofErr w:type="gramStart"/>
            <w:r>
              <w:rPr>
                <w:rFonts w:ascii="Sylfaen" w:hAnsi="Sylfaen"/>
              </w:rPr>
              <w:t>შესაბამისად</w:t>
            </w:r>
            <w:proofErr w:type="gramEnd"/>
            <w:r w:rsidR="00CC05BB">
              <w:rPr>
                <w:rFonts w:ascii="Sylfaen" w:hAnsi="Sylfaen"/>
              </w:rPr>
              <w:t>,</w:t>
            </w:r>
            <w:r>
              <w:rPr>
                <w:rFonts w:ascii="Sylfaen" w:hAnsi="Sylfaen"/>
              </w:rPr>
              <w:t xml:space="preserve"> მოსარჩელისთვის შეუძლებელი გახდა ფინანსური ანაზღაურების მოთხოვნის დაყენება, რადგან კანონმდებლობის თანახმად ასეთი მოთხოვნის წინაპირობას წარმოადგენს საერთო სასამართლოს მიერ რეპრესირებული პირის რეპრესიის მსხვერპლად აღიარება, რაზეც, როგორც აღვნიშნეთ, მოსარჩელეს უარი ეთქვა ამ კონსტიტუციური სარჩელით სადავოდ ქცეულ</w:t>
            </w:r>
            <w:r w:rsidR="009A7181">
              <w:rPr>
                <w:rFonts w:ascii="Sylfaen" w:hAnsi="Sylfaen"/>
              </w:rPr>
              <w:t xml:space="preserve">ი ნორმით დადგენილი </w:t>
            </w:r>
            <w:r>
              <w:rPr>
                <w:rFonts w:ascii="Sylfaen" w:hAnsi="Sylfaen"/>
              </w:rPr>
              <w:t xml:space="preserve">ვადების დარღვევის გამო. </w:t>
            </w:r>
            <w:proofErr w:type="gramStart"/>
            <w:r w:rsidR="00E94729">
              <w:rPr>
                <w:rFonts w:ascii="Sylfaen" w:hAnsi="Sylfaen"/>
              </w:rPr>
              <w:t>შესაბამისად</w:t>
            </w:r>
            <w:proofErr w:type="gramEnd"/>
            <w:r w:rsidR="00CC05BB">
              <w:rPr>
                <w:rFonts w:ascii="Sylfaen" w:hAnsi="Sylfaen"/>
              </w:rPr>
              <w:t>,</w:t>
            </w:r>
            <w:r>
              <w:rPr>
                <w:rFonts w:ascii="Sylfaen" w:hAnsi="Sylfaen"/>
              </w:rPr>
              <w:t xml:space="preserve"> დასტურდება ის ფაქტი, რომ</w:t>
            </w:r>
            <w:r w:rsidR="00E94729">
              <w:rPr>
                <w:rFonts w:ascii="Sylfaen" w:hAnsi="Sylfaen"/>
              </w:rPr>
              <w:t xml:space="preserve"> მოსარჩელემ </w:t>
            </w:r>
            <w:r w:rsidR="009A7181">
              <w:rPr>
                <w:rFonts w:ascii="Sylfaen" w:hAnsi="Sylfaen"/>
              </w:rPr>
              <w:t xml:space="preserve">სადავო ნორმის გამო </w:t>
            </w:r>
            <w:r w:rsidR="00E94729">
              <w:rPr>
                <w:rFonts w:ascii="Sylfaen" w:hAnsi="Sylfaen"/>
              </w:rPr>
              <w:t>ვერ შეძლო</w:t>
            </w:r>
            <w:r>
              <w:rPr>
                <w:rFonts w:ascii="Sylfaen" w:hAnsi="Sylfaen"/>
              </w:rPr>
              <w:t xml:space="preserve"> საქართველოს კონსტიტუციის მე-18 მუხლის მე-4 პუნქტით </w:t>
            </w:r>
            <w:r w:rsidR="00CC05BB">
              <w:rPr>
                <w:rFonts w:ascii="Sylfaen" w:hAnsi="Sylfaen"/>
              </w:rPr>
              <w:t>გარანტირებული</w:t>
            </w:r>
            <w:r>
              <w:rPr>
                <w:rFonts w:ascii="Sylfaen" w:hAnsi="Sylfaen"/>
              </w:rPr>
              <w:t xml:space="preserve"> უფლებით სარგებლობა და</w:t>
            </w:r>
            <w:r w:rsidR="00E94729">
              <w:rPr>
                <w:rFonts w:ascii="Sylfaen" w:hAnsi="Sylfaen"/>
              </w:rPr>
              <w:t xml:space="preserve"> სახელმწიფოს უკანონო ქმედების შედეგად მი</w:t>
            </w:r>
            <w:r>
              <w:rPr>
                <w:rFonts w:ascii="Sylfaen" w:hAnsi="Sylfaen"/>
              </w:rPr>
              <w:t>სი</w:t>
            </w:r>
            <w:r w:rsidR="00E94729">
              <w:rPr>
                <w:rFonts w:ascii="Sylfaen" w:hAnsi="Sylfaen"/>
              </w:rPr>
              <w:t xml:space="preserve"> ოჯახისთვის მიყენებული ზიანი ანაზღაურებ</w:t>
            </w:r>
            <w:r>
              <w:rPr>
                <w:rFonts w:ascii="Sylfaen" w:hAnsi="Sylfaen"/>
              </w:rPr>
              <w:t>ა.</w:t>
            </w:r>
            <w:r w:rsidR="009A7181">
              <w:rPr>
                <w:rFonts w:ascii="Sylfaen" w:hAnsi="Sylfaen"/>
              </w:rPr>
              <w:t xml:space="preserve"> </w:t>
            </w:r>
            <w:proofErr w:type="gramStart"/>
            <w:r w:rsidR="009A7181">
              <w:rPr>
                <w:rFonts w:ascii="Sylfaen" w:hAnsi="Sylfaen"/>
              </w:rPr>
              <w:t>ყოველივე</w:t>
            </w:r>
            <w:proofErr w:type="gramEnd"/>
            <w:r w:rsidR="009A7181">
              <w:rPr>
                <w:rFonts w:ascii="Sylfaen" w:hAnsi="Sylfaen"/>
              </w:rPr>
              <w:t xml:space="preserve"> ზემოაღნიშნული ადასტურებს, რომ </w:t>
            </w:r>
            <w:r w:rsidR="00E94729" w:rsidRPr="00BE01AE">
              <w:rPr>
                <w:rFonts w:ascii="Sylfaen" w:hAnsi="Sylfaen"/>
              </w:rPr>
              <w:t>ნატ</w:t>
            </w:r>
            <w:r w:rsidR="0001162B">
              <w:rPr>
                <w:rFonts w:ascii="Sylfaen" w:hAnsi="Sylfaen"/>
              </w:rPr>
              <w:t>ო</w:t>
            </w:r>
            <w:r w:rsidR="00E94729" w:rsidRPr="00BE01AE">
              <w:rPr>
                <w:rFonts w:ascii="Sylfaen" w:hAnsi="Sylfaen"/>
              </w:rPr>
              <w:t xml:space="preserve"> ქავთარაძე არის სათანადო მოსარჩელე</w:t>
            </w:r>
            <w:r>
              <w:rPr>
                <w:rFonts w:ascii="Sylfaen" w:hAnsi="Sylfaen"/>
              </w:rPr>
              <w:t>.</w:t>
            </w:r>
            <w:r w:rsidR="00E94729" w:rsidRPr="00BE01AE">
              <w:rPr>
                <w:rFonts w:ascii="Sylfaen" w:hAnsi="Sylfaen"/>
              </w:rPr>
              <w:t xml:space="preserve"> </w:t>
            </w:r>
          </w:p>
          <w:p w14:paraId="08E21A2B" w14:textId="77777777" w:rsidR="00E94729" w:rsidRDefault="00E94729" w:rsidP="00E94729">
            <w:pPr>
              <w:ind w:right="-18"/>
              <w:jc w:val="both"/>
              <w:rPr>
                <w:rFonts w:ascii="Sylfaen" w:hAnsi="Sylfaen"/>
                <w:lang w:val="ka-GE"/>
              </w:rPr>
            </w:pPr>
          </w:p>
          <w:p w14:paraId="651298F8" w14:textId="77777777" w:rsidR="00E94729" w:rsidRPr="00AF5586" w:rsidRDefault="00E94729" w:rsidP="00E94729">
            <w:pPr>
              <w:ind w:right="-18"/>
              <w:jc w:val="both"/>
              <w:rPr>
                <w:rFonts w:ascii="Sylfaen" w:hAnsi="Sylfaen"/>
                <w:bCs/>
                <w:lang w:val="ka-GE"/>
              </w:rPr>
            </w:pPr>
            <w:r w:rsidRPr="00AF5586">
              <w:rPr>
                <w:rFonts w:ascii="Sylfaen" w:hAnsi="Sylfaen"/>
                <w:bCs/>
                <w:lang w:val="ka-GE"/>
              </w:rPr>
              <w:t>გ)სარჩელში მითითებული საკითხი არის საკონსტიტუციო სასამართლოს განსჯადი;</w:t>
            </w:r>
          </w:p>
          <w:p w14:paraId="15834886" w14:textId="77777777" w:rsidR="00E94729" w:rsidRPr="00AF5586" w:rsidRDefault="00E94729" w:rsidP="00E94729">
            <w:pPr>
              <w:ind w:right="-18"/>
              <w:jc w:val="both"/>
              <w:rPr>
                <w:rFonts w:ascii="Sylfaen" w:hAnsi="Sylfaen"/>
                <w:bCs/>
                <w:lang w:val="ka-GE"/>
              </w:rPr>
            </w:pPr>
          </w:p>
          <w:p w14:paraId="6881FBC4" w14:textId="77777777" w:rsidR="00E94729" w:rsidRPr="00AF5586" w:rsidRDefault="00E94729" w:rsidP="00E94729">
            <w:pPr>
              <w:ind w:right="-18"/>
              <w:jc w:val="both"/>
              <w:rPr>
                <w:rFonts w:ascii="Sylfaen" w:hAnsi="Sylfaen"/>
                <w:bCs/>
                <w:lang w:val="ka-GE"/>
              </w:rPr>
            </w:pPr>
            <w:r w:rsidRPr="00AF5586">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5DA48C28" w14:textId="77777777" w:rsidR="00E94729" w:rsidRDefault="00E94729" w:rsidP="00E94729">
            <w:pPr>
              <w:ind w:right="-18"/>
              <w:jc w:val="both"/>
              <w:rPr>
                <w:rFonts w:ascii="Sylfaen" w:hAnsi="Sylfaen"/>
                <w:lang w:val="ka-GE"/>
              </w:rPr>
            </w:pPr>
          </w:p>
          <w:p w14:paraId="0CA1C156" w14:textId="77777777" w:rsidR="00E94729" w:rsidRDefault="00E94729" w:rsidP="00E94729">
            <w:pPr>
              <w:ind w:right="-18"/>
              <w:jc w:val="both"/>
              <w:rPr>
                <w:rFonts w:ascii="Sylfaen" w:hAnsi="Sylfaen"/>
                <w:bCs/>
                <w:lang w:val="ka-GE"/>
              </w:rPr>
            </w:pPr>
            <w:r w:rsidRPr="00AF5586">
              <w:rPr>
                <w:rFonts w:ascii="Sylfaen" w:hAnsi="Sylfaen"/>
                <w:bCs/>
                <w:lang w:val="ka-GE"/>
              </w:rPr>
              <w:t xml:space="preserve">ე) სარჩელში მითითებული საკითხი რეგულირდება კონსტიტუციის </w:t>
            </w:r>
            <w:r>
              <w:rPr>
                <w:rFonts w:ascii="Sylfaen" w:hAnsi="Sylfaen"/>
                <w:color w:val="000000"/>
                <w:sz w:val="24"/>
                <w:szCs w:val="24"/>
                <w:lang w:val="ka-GE"/>
              </w:rPr>
              <w:t>მე-18 მუხლის</w:t>
            </w:r>
            <w:r w:rsidRPr="007618C1">
              <w:rPr>
                <w:rFonts w:ascii="Sylfaen" w:hAnsi="Sylfaen"/>
                <w:color w:val="000000"/>
                <w:sz w:val="24"/>
                <w:szCs w:val="24"/>
                <w:lang w:val="ka-GE"/>
              </w:rPr>
              <w:t xml:space="preserve"> მე-4 პუნქტით</w:t>
            </w:r>
            <w:r>
              <w:rPr>
                <w:rFonts w:ascii="Sylfaen" w:hAnsi="Sylfaen"/>
                <w:color w:val="000000"/>
                <w:sz w:val="24"/>
                <w:szCs w:val="24"/>
                <w:lang w:val="ka-GE"/>
              </w:rPr>
              <w:t>;</w:t>
            </w:r>
          </w:p>
          <w:p w14:paraId="3482BBD0" w14:textId="77777777" w:rsidR="00E94729" w:rsidRDefault="00E94729" w:rsidP="00E94729">
            <w:pPr>
              <w:ind w:right="-18"/>
              <w:jc w:val="both"/>
              <w:rPr>
                <w:rFonts w:ascii="Sylfaen" w:hAnsi="Sylfaen"/>
                <w:bCs/>
                <w:lang w:val="ka-GE"/>
              </w:rPr>
            </w:pPr>
          </w:p>
          <w:p w14:paraId="166BDD8D" w14:textId="77777777" w:rsidR="00E94729" w:rsidRDefault="00E94729" w:rsidP="00E94729">
            <w:pPr>
              <w:ind w:right="-18"/>
              <w:jc w:val="both"/>
              <w:rPr>
                <w:rFonts w:ascii="Sylfaen" w:hAnsi="Sylfaen"/>
                <w:bCs/>
                <w:lang w:val="ka-GE"/>
              </w:rPr>
            </w:pPr>
            <w:r w:rsidRPr="00AF5586">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4465B499" w14:textId="77777777" w:rsidR="007F1D75" w:rsidRPr="00AF5586" w:rsidRDefault="007F1D75" w:rsidP="00E94729">
            <w:pPr>
              <w:ind w:right="-18"/>
              <w:jc w:val="both"/>
              <w:rPr>
                <w:rFonts w:ascii="Sylfaen" w:hAnsi="Sylfaen"/>
                <w:bCs/>
                <w:lang w:val="ka-GE"/>
              </w:rPr>
            </w:pPr>
          </w:p>
          <w:p w14:paraId="431F2C89" w14:textId="77777777" w:rsidR="00E94729" w:rsidRDefault="00E94729" w:rsidP="00E94729">
            <w:pPr>
              <w:ind w:right="-18"/>
              <w:jc w:val="both"/>
              <w:rPr>
                <w:rFonts w:ascii="Sylfaen" w:hAnsi="Sylfaen"/>
              </w:rPr>
            </w:pPr>
            <w:r>
              <w:rPr>
                <w:rFonts w:ascii="Sylfaen" w:hAnsi="Sylfaen"/>
                <w:lang w:val="ka-GE"/>
              </w:rPr>
              <w:t xml:space="preserve">ზ) </w:t>
            </w:r>
            <w:r w:rsidRPr="00AF5586">
              <w:rPr>
                <w:rFonts w:ascii="Sylfaen" w:hAnsi="Sylfaen"/>
              </w:rPr>
              <w:t>სადავო კანონქვემდებარე ნორმატიული აქტის კონსტიტუციურობაზე სრულფასოვანი მსჯელობა</w:t>
            </w:r>
            <w:r>
              <w:rPr>
                <w:rFonts w:ascii="Sylfaen" w:hAnsi="Sylfaen"/>
                <w:lang w:val="ka-GE"/>
              </w:rPr>
              <w:t xml:space="preserve"> შესაძლებელია </w:t>
            </w:r>
            <w:r w:rsidRPr="00AF5586">
              <w:rPr>
                <w:rFonts w:ascii="Sylfaen" w:hAnsi="Sylfaen"/>
              </w:rPr>
              <w:t>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1DFC5418" w14:textId="77777777" w:rsidR="00E94729" w:rsidRDefault="00E94729" w:rsidP="00E94729">
            <w:pPr>
              <w:ind w:right="-18"/>
              <w:jc w:val="both"/>
              <w:rPr>
                <w:rFonts w:ascii="Sylfaen" w:hAnsi="Sylfaen"/>
              </w:rPr>
            </w:pPr>
          </w:p>
          <w:p w14:paraId="6D1F1F73" w14:textId="3CA0C42A" w:rsidR="007F1D75" w:rsidRDefault="009A7181" w:rsidP="009A7181">
            <w:pPr>
              <w:ind w:right="-18" w:firstLine="690"/>
              <w:jc w:val="both"/>
              <w:rPr>
                <w:rFonts w:ascii="Sylfaen" w:hAnsi="Sylfaen"/>
                <w:lang w:val="ru-RU"/>
              </w:rPr>
            </w:pPr>
            <w:r>
              <w:rPr>
                <w:rFonts w:ascii="Sylfaen" w:hAnsi="Sylfaen"/>
                <w:lang w:val="ka-GE"/>
              </w:rPr>
              <w:t xml:space="preserve">სადავო  ნორმის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 თუმცა აღნიშვნას საჭროებს ის ფაქტი, რომ </w:t>
            </w:r>
            <w:r w:rsidR="00E94729">
              <w:rPr>
                <w:rFonts w:ascii="Sylfaen" w:hAnsi="Sylfaen"/>
                <w:lang w:val="ka-GE"/>
              </w:rPr>
              <w:t xml:space="preserve">დავის საგანს წარმოადგენს </w:t>
            </w:r>
            <w:r>
              <w:rPr>
                <w:rFonts w:ascii="Sylfaen" w:hAnsi="Sylfaen"/>
                <w:lang w:val="ka-GE"/>
              </w:rPr>
              <w:t>საქართვლოს კანონი ცვლილებების შეტანის თაობაზე</w:t>
            </w:r>
            <w:r w:rsidR="007F1D75">
              <w:rPr>
                <w:rFonts w:ascii="Sylfaen" w:hAnsi="Sylfaen"/>
                <w:lang w:val="ka-GE"/>
              </w:rPr>
              <w:t xml:space="preserve">. </w:t>
            </w:r>
            <w:r w:rsidR="007F1D75" w:rsidRPr="00BE01AE">
              <w:rPr>
                <w:rFonts w:ascii="Sylfaen" w:hAnsi="Sylfaen"/>
                <w:lang w:val="ru-RU"/>
              </w:rPr>
              <w:t>საკონსტიტუციო სასამართლოს პრაქტიკიდან გამომდინარე, „საკონსტიტუციო სასამართლოს შინაარსობრივი მსჯელობის საგანი შეიძლება იყოს არა ცვლილებებისა და დამატებების შესახებ კანონის ესა თუ ის ნორმა, არამედ ძირითადი (კოდიფიცირებული) კანონის იმ ნორმის მოქმედი რედაქცია, რომელიც ჩამოყალიბდა განხორციელებული ცვლილების შედეგად ... შესაბამისად, დავის გადასაწყვეტად მოსარჩელემ უნდა მიუთითოს არა ცვლილებების და დამატებების შესახებ კანონი, არამედ მოქმედი ნორმატიული აქტის ის შინაარსი, რომელიც მისი უფლების დარღვევას იწვევს, ვინაიდან ცვლილებებისა და დამატებების შესახებ კანონი დამოუკიდებლად ვერ შეფასდება როგორც უფლების შემზღუდველი ნორმა“</w:t>
            </w:r>
            <w:r>
              <w:rPr>
                <w:rFonts w:ascii="Sylfaen" w:hAnsi="Sylfaen"/>
                <w:lang w:val="ka-GE"/>
              </w:rPr>
              <w:t>.</w:t>
            </w:r>
            <w:r>
              <w:rPr>
                <w:rStyle w:val="a8"/>
                <w:rFonts w:ascii="Sylfaen" w:hAnsi="Sylfaen"/>
                <w:lang w:val="ka-GE"/>
              </w:rPr>
              <w:footnoteReference w:id="8"/>
            </w:r>
            <w:r w:rsidR="007F1D75" w:rsidRPr="00BE01AE">
              <w:rPr>
                <w:rFonts w:ascii="Sylfaen" w:hAnsi="Sylfaen"/>
                <w:lang w:val="ru-RU"/>
              </w:rPr>
              <w:t xml:space="preserve"> </w:t>
            </w:r>
          </w:p>
          <w:p w14:paraId="6DCA751B" w14:textId="1300D0C2" w:rsidR="007F1D75" w:rsidRDefault="007F1D75" w:rsidP="009A7181">
            <w:pPr>
              <w:ind w:right="-18" w:firstLine="690"/>
              <w:jc w:val="both"/>
              <w:rPr>
                <w:rFonts w:ascii="Sylfaen" w:hAnsi="Sylfaen"/>
                <w:lang w:val="ka-GE"/>
              </w:rPr>
            </w:pPr>
            <w:r w:rsidRPr="00BE01AE">
              <w:rPr>
                <w:rFonts w:ascii="Sylfaen" w:hAnsi="Sylfaen"/>
                <w:lang w:val="ka-GE"/>
              </w:rPr>
              <w:t xml:space="preserve">თუმცა საკონსტიტუციო სასამართლოს პრაქტიკაში იკვეთება გამონაკლისი შემთხვევები. კერძოდ </w:t>
            </w:r>
            <w:r w:rsidRPr="00180E3A">
              <w:rPr>
                <w:rFonts w:ascii="Sylfaen" w:hAnsi="Sylfaen"/>
                <w:lang w:val="ka-GE"/>
              </w:rPr>
              <w:t xml:space="preserve">საკონსტიტუციო სასამართლომ მიუთითა, რომ აღნიშნული წესიდან ერთ-ერთ გამონაკლისს შეიძლება </w:t>
            </w:r>
            <w:r w:rsidRPr="00180E3A">
              <w:rPr>
                <w:rFonts w:ascii="Sylfaen" w:hAnsi="Sylfaen"/>
                <w:lang w:val="ka-GE"/>
              </w:rPr>
              <w:lastRenderedPageBreak/>
              <w:t>წარმოადგენდეს</w:t>
            </w:r>
            <w:r w:rsidR="009A7181">
              <w:rPr>
                <w:rFonts w:ascii="Sylfaen" w:hAnsi="Sylfaen"/>
                <w:lang w:val="ka-GE"/>
              </w:rPr>
              <w:t xml:space="preserve"> ის შემთხვევა, როდესაც </w:t>
            </w:r>
            <w:r w:rsidRPr="00180E3A">
              <w:rPr>
                <w:rFonts w:ascii="Sylfaen" w:hAnsi="Sylfaen"/>
                <w:lang w:val="ka-GE"/>
              </w:rPr>
              <w:t xml:space="preserve"> „ცვლილებებისა და დამატებების შესახებ კანონში მოცემული რაიმე რეგულირების გადატანა (ინტეგრირება) არ ხდება სხვა (ძირითად) ნორმატიულ აქტში და იგი არსებობას აგრძელებს დამოუკიდებლად“</w:t>
            </w:r>
            <w:r w:rsidR="009A7181">
              <w:rPr>
                <w:rFonts w:ascii="Sylfaen" w:hAnsi="Sylfaen"/>
                <w:lang w:val="ka-GE"/>
              </w:rPr>
              <w:t>.</w:t>
            </w:r>
            <w:r w:rsidR="009A7181">
              <w:rPr>
                <w:rStyle w:val="a8"/>
                <w:rFonts w:ascii="Sylfaen" w:hAnsi="Sylfaen"/>
                <w:lang w:val="ka-GE"/>
              </w:rPr>
              <w:footnoteReference w:id="9"/>
            </w:r>
            <w:r w:rsidRPr="00180E3A">
              <w:rPr>
                <w:rFonts w:ascii="Sylfaen" w:hAnsi="Sylfaen"/>
                <w:lang w:val="ka-GE"/>
              </w:rPr>
              <w:t xml:space="preserve"> </w:t>
            </w:r>
          </w:p>
          <w:p w14:paraId="3545F90B" w14:textId="05BDD802" w:rsidR="007F1D75" w:rsidRPr="00BE01AE" w:rsidRDefault="007F1D75" w:rsidP="009A7181">
            <w:pPr>
              <w:ind w:right="-18" w:firstLine="690"/>
              <w:jc w:val="both"/>
              <w:rPr>
                <w:rFonts w:ascii="Sylfaen" w:hAnsi="Sylfaen"/>
                <w:lang w:val="ka-GE"/>
              </w:rPr>
            </w:pPr>
            <w:r w:rsidRPr="00BE01AE">
              <w:rPr>
                <w:rFonts w:ascii="Sylfaen" w:hAnsi="Sylfaen"/>
                <w:lang w:val="ka-GE"/>
              </w:rPr>
              <w:t>მოცემულ შემთხვევაში სადავო ნორმა წარმოადგენს ცვლილებებისა და დამატებების შემტანი კანონის სწორედ იმგვარ დანაწესს, რომლის ინტეგრირება არ ხდება ძირითად აქტში და ის არსებობას აგრძელებს დამოუკიდებლად. ამავდროულად მას აღქვს უფლებაშემზღუდველი ხასიათი</w:t>
            </w:r>
            <w:r w:rsidR="00CC05BB">
              <w:rPr>
                <w:rFonts w:ascii="Sylfaen" w:hAnsi="Sylfaen"/>
                <w:lang w:val="ka-GE"/>
              </w:rPr>
              <w:t xml:space="preserve">. </w:t>
            </w:r>
            <w:r w:rsidRPr="00BE01AE">
              <w:rPr>
                <w:rFonts w:ascii="Sylfaen" w:hAnsi="Sylfaen"/>
                <w:lang w:val="ka-GE"/>
              </w:rPr>
              <w:t>შესაბამისად</w:t>
            </w:r>
            <w:r w:rsidR="00CC05BB">
              <w:rPr>
                <w:rFonts w:ascii="Sylfaen" w:hAnsi="Sylfaen"/>
                <w:lang w:val="ka-GE"/>
              </w:rPr>
              <w:t>,</w:t>
            </w:r>
            <w:r w:rsidRPr="00BE01AE">
              <w:rPr>
                <w:rFonts w:ascii="Sylfaen" w:hAnsi="Sylfaen"/>
                <w:lang w:val="ka-GE"/>
              </w:rPr>
              <w:t xml:space="preserve"> სადავო ნორმა ექვემდებარება კონსტიტუციურობის კუთხით შეფასებას</w:t>
            </w:r>
            <w:r>
              <w:rPr>
                <w:rFonts w:ascii="Sylfaen" w:hAnsi="Sylfaen"/>
                <w:lang w:val="ka-GE"/>
              </w:rPr>
              <w:t xml:space="preserve"> ძირითად აქტზე მსჯელობის გარეშე.</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10"/>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089EFB4" w14:textId="202A387D" w:rsidR="007F1D75" w:rsidRDefault="007F1D75" w:rsidP="007F1D75">
            <w:pPr>
              <w:ind w:firstLine="709"/>
              <w:jc w:val="both"/>
              <w:rPr>
                <w:rFonts w:ascii="Sylfaen" w:hAnsi="Sylfaen"/>
                <w:lang w:val="ka-GE"/>
              </w:rPr>
            </w:pPr>
            <w:permStart w:id="1936157889" w:edGrp="everyone" w:colFirst="0" w:colLast="0"/>
            <w:r w:rsidRPr="007F1D75">
              <w:rPr>
                <w:rFonts w:ascii="Sylfaen" w:hAnsi="Sylfaen"/>
                <w:lang w:val="ka-GE"/>
              </w:rPr>
              <w:t>საქართველოს კონსტიტუციის მე-18 მუხლის მე-4 პუნქტი ადგენს: “ყველასთვის გარანტირებულია სახელმწიფო,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მიყენებული ზიანის სასამართლო წესით სრული ანაზღაურება შესაბამისად სახელმწიფო, ავტონომიური რესპუბლიკის ან ადგილობრივი თვითმმართველობის სახსრებიდან.</w:t>
            </w:r>
            <w:r>
              <w:rPr>
                <w:rFonts w:ascii="Sylfaen" w:hAnsi="Sylfaen"/>
                <w:lang w:val="ka-GE"/>
              </w:rPr>
              <w:t>“</w:t>
            </w:r>
          </w:p>
          <w:p w14:paraId="2C3B61AB" w14:textId="40B60294" w:rsidR="00E60AE2" w:rsidRDefault="007F1D75" w:rsidP="00E60AE2">
            <w:pPr>
              <w:ind w:firstLine="709"/>
              <w:jc w:val="both"/>
              <w:rPr>
                <w:rFonts w:ascii="Sylfaen" w:hAnsi="Sylfaen"/>
                <w:lang w:val="ka-GE"/>
              </w:rPr>
            </w:pPr>
            <w:r>
              <w:rPr>
                <w:rFonts w:ascii="Sylfaen" w:hAnsi="Sylfaen"/>
                <w:lang w:val="ka-GE"/>
              </w:rPr>
              <w:t xml:space="preserve">საქართველოს საკონსტიტუციო სასამართლომ არაერთ გადაწყვეტილებაში განმარტა, რომ კონსტიტუციის ეს დანაწესი </w:t>
            </w:r>
            <w:r w:rsidRPr="00D84FE8">
              <w:rPr>
                <w:rFonts w:ascii="Sylfaen" w:hAnsi="Sylfaen"/>
                <w:lang w:val="ka-GE"/>
              </w:rPr>
              <w:t xml:space="preserve">ზარალის ანაზღაურების უფლებას რამდენიმე წინაპირობის არსებობას უკავშირებს: </w:t>
            </w:r>
            <w:r w:rsidR="00E60AE2">
              <w:rPr>
                <w:rFonts w:ascii="Sylfaen" w:hAnsi="Sylfaen"/>
                <w:lang w:val="ka-GE"/>
              </w:rPr>
              <w:t>„</w:t>
            </w:r>
            <w:r w:rsidRPr="00D84FE8">
              <w:rPr>
                <w:rFonts w:ascii="Sylfaen" w:hAnsi="Sylfaen"/>
                <w:lang w:val="ka-GE"/>
              </w:rPr>
              <w:t xml:space="preserve">1. უნდა არსებობდეს სახელმწიფოს, ავტონომიური რესპუბლიკებისა და ადგილობრივი თვითმმართველობის ორგანოთა სახელით მოქმედი პირის ქმედებით პირისათვის ზარალის მიყენების ფაქტი; </w:t>
            </w:r>
            <w:r w:rsidR="00E60AE2">
              <w:rPr>
                <w:rFonts w:ascii="Sylfaen" w:hAnsi="Sylfaen"/>
                <w:lang w:val="ka-GE"/>
              </w:rPr>
              <w:t xml:space="preserve"> </w:t>
            </w:r>
            <w:r w:rsidRPr="00D84FE8">
              <w:rPr>
                <w:rFonts w:ascii="Sylfaen" w:hAnsi="Sylfaen"/>
                <w:lang w:val="ka-GE"/>
              </w:rPr>
              <w:t xml:space="preserve">2. ხსენებულ პირთა ქმედების უკანონო ხასიათი დადგენილი უნდა იყოს სათანადო წესით; 3. პირისათვის მიყენებული ზარალი გამოწვეული უნდა იყოს საქართველოს კონსტიტუციის 42-ე მუხლის მე-9 პუნქტში </w:t>
            </w:r>
            <w:r w:rsidR="00CC05BB">
              <w:rPr>
                <w:rFonts w:ascii="Sylfaen" w:hAnsi="Sylfaen"/>
                <w:lang w:val="ka-GE"/>
              </w:rPr>
              <w:t xml:space="preserve">[მოქმედი რედაქციის მე-18 მუხლის მე-4 პუნქტი] </w:t>
            </w:r>
            <w:r w:rsidRPr="00D84FE8">
              <w:rPr>
                <w:rFonts w:ascii="Sylfaen" w:hAnsi="Sylfaen"/>
                <w:lang w:val="ka-GE"/>
              </w:rPr>
              <w:t>მითითებული სუბიექტების უკანონო ქმედებით და უნდა არსებობდეს მიზეზობრივი კავშირი უკანონო ქმედებასა და დამდგარ ზარალს შორის.</w:t>
            </w:r>
            <w:r w:rsidR="00E60AE2">
              <w:rPr>
                <w:rFonts w:ascii="Sylfaen" w:hAnsi="Sylfaen"/>
                <w:lang w:val="ka-GE"/>
              </w:rPr>
              <w:t>“</w:t>
            </w:r>
            <w:r w:rsidR="00E60AE2">
              <w:rPr>
                <w:rStyle w:val="a8"/>
                <w:rFonts w:ascii="Sylfaen" w:hAnsi="Sylfaen"/>
                <w:lang w:val="ka-GE"/>
              </w:rPr>
              <w:footnoteReference w:id="11"/>
            </w:r>
            <w:r w:rsidRPr="00D84FE8">
              <w:rPr>
                <w:rFonts w:ascii="Sylfaen" w:hAnsi="Sylfaen"/>
                <w:lang w:val="ka-GE"/>
              </w:rPr>
              <w:t xml:space="preserve"> </w:t>
            </w:r>
          </w:p>
          <w:p w14:paraId="52AA7215" w14:textId="061D23AA" w:rsidR="007F1D75" w:rsidRPr="007F1D75" w:rsidRDefault="00E60AE2" w:rsidP="007F1D75">
            <w:pPr>
              <w:ind w:firstLine="709"/>
              <w:jc w:val="both"/>
              <w:rPr>
                <w:rFonts w:ascii="Sylfaen" w:hAnsi="Sylfaen"/>
                <w:lang w:val="ka-GE"/>
              </w:rPr>
            </w:pPr>
            <w:r>
              <w:rPr>
                <w:rFonts w:ascii="Sylfaen" w:hAnsi="Sylfaen"/>
                <w:lang w:val="ka-GE"/>
              </w:rPr>
              <w:t>სარჩელზე თანდართული მასალებით</w:t>
            </w:r>
            <w:r w:rsidR="007F1D75">
              <w:rPr>
                <w:rFonts w:ascii="Sylfaen" w:hAnsi="Sylfaen"/>
                <w:lang w:val="ka-GE"/>
              </w:rPr>
              <w:t xml:space="preserve"> დასტურდება</w:t>
            </w:r>
            <w:r w:rsidR="00BB71E0">
              <w:rPr>
                <w:rFonts w:ascii="Sylfaen" w:hAnsi="Sylfaen"/>
                <w:lang w:val="ka-GE"/>
              </w:rPr>
              <w:t>,</w:t>
            </w:r>
            <w:r w:rsidR="007F1D75">
              <w:rPr>
                <w:rFonts w:ascii="Sylfaen" w:hAnsi="Sylfaen"/>
                <w:lang w:val="ka-GE"/>
              </w:rPr>
              <w:t xml:space="preserve"> რომ მოსარჩელის მამას ნიკოლოზ სოფრომაძის ძე ქავთრაძეს 1940 </w:t>
            </w:r>
            <w:r>
              <w:rPr>
                <w:rFonts w:ascii="Sylfaen" w:hAnsi="Sylfaen"/>
                <w:lang w:val="ka-GE"/>
              </w:rPr>
              <w:t>წელს</w:t>
            </w:r>
            <w:r w:rsidR="007F1D75">
              <w:rPr>
                <w:rFonts w:ascii="Sylfaen" w:hAnsi="Sylfaen"/>
                <w:lang w:val="ka-GE"/>
              </w:rPr>
              <w:t xml:space="preserve"> მიესაჯა 8 წლით თავისუფლების აღკვეთა</w:t>
            </w:r>
            <w:r w:rsidR="00BB71E0">
              <w:rPr>
                <w:rFonts w:ascii="Sylfaen" w:hAnsi="Sylfaen"/>
                <w:lang w:val="ka-GE"/>
              </w:rPr>
              <w:t>. მოსარჩელე ადატურებს რომ მისი მამა, ნიკოლოზ ქავთარაძე სასჯერს იხდიდა ციმბირში</w:t>
            </w:r>
            <w:r w:rsidR="007F1D75">
              <w:rPr>
                <w:rFonts w:ascii="Sylfaen" w:hAnsi="Sylfaen"/>
                <w:lang w:val="ka-GE"/>
              </w:rPr>
              <w:t xml:space="preserve"> 1942 წლის მარტის თვემდე. ასევე დასტურდება, რომ საბრალდებო საქმე ხელახლა განხილული იქნა საქართველოს სსრ უმაღლესი სასამართლოს მიერ 1960 წლის 8 ივნისს</w:t>
            </w:r>
            <w:r w:rsidR="00BB71E0">
              <w:rPr>
                <w:rFonts w:ascii="Sylfaen" w:hAnsi="Sylfaen"/>
                <w:lang w:val="ka-GE"/>
              </w:rPr>
              <w:t>,</w:t>
            </w:r>
            <w:r w:rsidR="007F1D75">
              <w:rPr>
                <w:rFonts w:ascii="Sylfaen" w:hAnsi="Sylfaen"/>
                <w:lang w:val="ka-GE"/>
              </w:rPr>
              <w:t xml:space="preserve"> რის შედეგადაც საქმის წარმოება შეწყდა და დანაშაულის არარსებობის გამო მოხდა ნიკოლოზ სოფრომის ძე ქავთარაძის რეაბილიტაცია</w:t>
            </w:r>
            <w:r>
              <w:rPr>
                <w:rFonts w:ascii="Sylfaen" w:hAnsi="Sylfaen"/>
                <w:lang w:val="ka-GE"/>
              </w:rPr>
              <w:t xml:space="preserve">. </w:t>
            </w:r>
            <w:r w:rsidR="007F1D75">
              <w:rPr>
                <w:rFonts w:ascii="Sylfaen" w:hAnsi="Sylfaen"/>
                <w:lang w:val="ka-GE"/>
              </w:rPr>
              <w:t>შესაბამისად</w:t>
            </w:r>
            <w:r w:rsidR="00BB71E0">
              <w:rPr>
                <w:rFonts w:ascii="Sylfaen" w:hAnsi="Sylfaen"/>
                <w:lang w:val="ka-GE"/>
              </w:rPr>
              <w:t>,</w:t>
            </w:r>
            <w:r w:rsidR="007F1D75">
              <w:rPr>
                <w:rFonts w:ascii="Sylfaen" w:hAnsi="Sylfaen"/>
                <w:lang w:val="ka-GE"/>
              </w:rPr>
              <w:t xml:space="preserve"> მოცემულ საქმეში ეჭვს არ იწვევს ის გარემოება</w:t>
            </w:r>
            <w:r w:rsidR="00BB71E0">
              <w:rPr>
                <w:rFonts w:ascii="Sylfaen" w:hAnsi="Sylfaen"/>
                <w:lang w:val="ka-GE"/>
              </w:rPr>
              <w:t>,</w:t>
            </w:r>
            <w:r w:rsidR="007F1D75">
              <w:rPr>
                <w:rFonts w:ascii="Sylfaen" w:hAnsi="Sylfaen"/>
                <w:lang w:val="ka-GE"/>
              </w:rPr>
              <w:t xml:space="preserve"> რომ სახეზეა საქართველოს მე-18 მუხლის მე-4 პუნქტით გათვალისწინებული უფლებით სარგებლობის ყველა წინაპირობა. თუმცა ფაქტია, რომ სადავო ნორმის მოქმედების პირობებში მოსარჩელე ვერ ახერხებს კონსტიტუცი</w:t>
            </w:r>
            <w:r w:rsidR="0001162B">
              <w:rPr>
                <w:rFonts w:ascii="Sylfaen" w:hAnsi="Sylfaen"/>
                <w:lang w:val="ka-GE"/>
              </w:rPr>
              <w:t>ის მე-18 მუხლის მე</w:t>
            </w:r>
            <w:r>
              <w:rPr>
                <w:rFonts w:ascii="Sylfaen" w:hAnsi="Sylfaen"/>
                <w:lang w:val="ka-GE"/>
              </w:rPr>
              <w:t>-</w:t>
            </w:r>
            <w:r w:rsidR="0001162B">
              <w:rPr>
                <w:rFonts w:ascii="Sylfaen" w:hAnsi="Sylfaen"/>
                <w:lang w:val="ka-GE"/>
              </w:rPr>
              <w:t>4 პუნქტით</w:t>
            </w:r>
            <w:r w:rsidR="0092147C">
              <w:rPr>
                <w:rFonts w:ascii="Sylfaen" w:hAnsi="Sylfaen"/>
                <w:lang w:val="ka-GE"/>
              </w:rPr>
              <w:t xml:space="preserve"> გარანტირებული</w:t>
            </w:r>
            <w:r w:rsidR="007F1D75">
              <w:rPr>
                <w:rFonts w:ascii="Sylfaen" w:hAnsi="Sylfaen"/>
                <w:lang w:val="ka-GE"/>
              </w:rPr>
              <w:t xml:space="preserve"> უფლების რეალიზებას.</w:t>
            </w:r>
          </w:p>
          <w:p w14:paraId="6FE77E25" w14:textId="7C16AF66" w:rsidR="007F1D75" w:rsidRDefault="007F1D75" w:rsidP="007F1D75">
            <w:pPr>
              <w:ind w:firstLine="709"/>
              <w:jc w:val="both"/>
              <w:rPr>
                <w:rFonts w:ascii="Sylfaen" w:hAnsi="Sylfaen"/>
                <w:lang w:val="ka-GE"/>
              </w:rPr>
            </w:pPr>
            <w:r>
              <w:rPr>
                <w:rFonts w:ascii="Sylfaen" w:hAnsi="Sylfaen"/>
                <w:lang w:val="ka-GE"/>
              </w:rPr>
              <w:t xml:space="preserve">სადავო ნორმის მოქმედებით გაუმართლებლად შეიზღუდა </w:t>
            </w:r>
            <w:r w:rsidR="002A35E1">
              <w:rPr>
                <w:rFonts w:ascii="Sylfaen" w:hAnsi="Sylfaen"/>
                <w:lang w:val="ka-GE"/>
              </w:rPr>
              <w:t xml:space="preserve">საქართველოს </w:t>
            </w:r>
            <w:r>
              <w:rPr>
                <w:rFonts w:ascii="Sylfaen" w:hAnsi="Sylfaen"/>
                <w:lang w:val="ka-GE"/>
              </w:rPr>
              <w:t>კონსტიტუციის მე-18 მუხლის მე-4 პუ</w:t>
            </w:r>
            <w:r w:rsidR="002059B4">
              <w:rPr>
                <w:rFonts w:ascii="Sylfaen" w:hAnsi="Sylfaen"/>
                <w:lang w:val="ka-GE"/>
              </w:rPr>
              <w:t>ნქ</w:t>
            </w:r>
            <w:r>
              <w:rPr>
                <w:rFonts w:ascii="Sylfaen" w:hAnsi="Sylfaen"/>
                <w:lang w:val="ka-GE"/>
              </w:rPr>
              <w:t>ტით დაცული უფლება</w:t>
            </w:r>
            <w:r w:rsidR="002A35E1">
              <w:rPr>
                <w:rFonts w:ascii="Sylfaen" w:hAnsi="Sylfaen"/>
                <w:lang w:val="ka-GE"/>
              </w:rPr>
              <w:t>,</w:t>
            </w:r>
            <w:r>
              <w:rPr>
                <w:rFonts w:ascii="Sylfaen" w:hAnsi="Sylfaen"/>
                <w:lang w:val="ka-GE"/>
              </w:rPr>
              <w:t xml:space="preserve"> ვინაიდან</w:t>
            </w:r>
            <w:r w:rsidR="002059B4">
              <w:rPr>
                <w:rFonts w:ascii="Sylfaen" w:hAnsi="Sylfaen"/>
                <w:lang w:val="ka-GE"/>
              </w:rPr>
              <w:t>,</w:t>
            </w:r>
            <w:r>
              <w:rPr>
                <w:rFonts w:ascii="Sylfaen" w:hAnsi="Sylfaen"/>
                <w:lang w:val="ka-GE"/>
              </w:rPr>
              <w:t xml:space="preserve"> დღეს არსებული რეგულაციის ფონზე</w:t>
            </w:r>
            <w:r w:rsidR="002A35E1">
              <w:rPr>
                <w:rFonts w:ascii="Sylfaen" w:hAnsi="Sylfaen"/>
                <w:lang w:val="ka-GE"/>
              </w:rPr>
              <w:t>,</w:t>
            </w:r>
            <w:r>
              <w:rPr>
                <w:rFonts w:ascii="Sylfaen" w:hAnsi="Sylfaen"/>
                <w:lang w:val="ka-GE"/>
              </w:rPr>
              <w:t xml:space="preserve"> მოსარჩელეს და მოსარჩელის მდგომარეობაში მყოფ სხვა პირებს არ აქვთ შესაძლებლობა</w:t>
            </w:r>
            <w:r w:rsidR="0092147C">
              <w:rPr>
                <w:rFonts w:ascii="Sylfaen" w:hAnsi="Sylfaen"/>
                <w:lang w:val="ka-GE"/>
              </w:rPr>
              <w:t xml:space="preserve"> სასამართლო წესით</w:t>
            </w:r>
            <w:r>
              <w:rPr>
                <w:rFonts w:ascii="Sylfaen" w:hAnsi="Sylfaen"/>
                <w:lang w:val="ka-GE"/>
              </w:rPr>
              <w:t xml:space="preserve"> მ</w:t>
            </w:r>
            <w:r w:rsidR="002059B4">
              <w:rPr>
                <w:rFonts w:ascii="Sylfaen" w:hAnsi="Sylfaen"/>
                <w:lang w:val="ka-GE"/>
              </w:rPr>
              <w:t>ოი</w:t>
            </w:r>
            <w:r>
              <w:rPr>
                <w:rFonts w:ascii="Sylfaen" w:hAnsi="Sylfaen"/>
                <w:lang w:val="ka-GE"/>
              </w:rPr>
              <w:t>თხოვონ რეპრესიებით უშუალოდ დაზარალებული პირის რეპრესიის მსხვერპლად აღიარება</w:t>
            </w:r>
            <w:r w:rsidR="002A35E1">
              <w:rPr>
                <w:rFonts w:ascii="Sylfaen" w:hAnsi="Sylfaen"/>
                <w:lang w:val="ka-GE"/>
              </w:rPr>
              <w:t>. აღნიშნული კი</w:t>
            </w:r>
            <w:r>
              <w:rPr>
                <w:rFonts w:ascii="Sylfaen" w:hAnsi="Sylfaen"/>
                <w:lang w:val="ka-GE"/>
              </w:rPr>
              <w:t xml:space="preserve"> კანონმდებლობის თანახმად ფულადი კომპენსაციის მიღების სავალდებულო წინაპირობას წარმოადგენს. </w:t>
            </w:r>
          </w:p>
          <w:p w14:paraId="1EDF4E93" w14:textId="09B50409" w:rsidR="007F1D75" w:rsidRPr="00D84FE8" w:rsidRDefault="007F1D75" w:rsidP="007F1D75">
            <w:pPr>
              <w:ind w:firstLine="709"/>
              <w:jc w:val="both"/>
              <w:rPr>
                <w:rFonts w:ascii="Sylfaen" w:hAnsi="Sylfaen"/>
                <w:lang w:val="ka-GE"/>
              </w:rPr>
            </w:pPr>
            <w:r>
              <w:rPr>
                <w:rFonts w:ascii="Sylfaen" w:hAnsi="Sylfaen"/>
                <w:lang w:val="ka-GE"/>
              </w:rPr>
              <w:t>საქართველოს საკონსტიტუციო სასამართლოს განმარტებით საქართველოს კონსტიტუციის მე-18 მუხლის მე-4 პუნქტი „</w:t>
            </w:r>
            <w:r w:rsidRPr="002D6C8A">
              <w:rPr>
                <w:rFonts w:ascii="Sylfaen" w:hAnsi="Sylfaen"/>
                <w:lang w:val="ka-GE"/>
              </w:rPr>
              <w:t xml:space="preserve">ყველას ანიჭებს უფლებას მოითხოვოს და მიიღოს ზარალის ანაზღაურება სახელმწიფო სახსრებიდან. </w:t>
            </w:r>
            <w:r>
              <w:rPr>
                <w:rFonts w:ascii="Sylfaen" w:hAnsi="Sylfaen"/>
                <w:lang w:val="ka-GE"/>
              </w:rPr>
              <w:t xml:space="preserve">... </w:t>
            </w:r>
            <w:r w:rsidRPr="002D6C8A">
              <w:rPr>
                <w:rFonts w:ascii="Sylfaen" w:hAnsi="Sylfaen"/>
                <w:lang w:val="ka-GE"/>
              </w:rPr>
              <w:t xml:space="preserve">ამ სახით ჩამოყალიბებული კონსტიტუციური ნორმა კანონმდებელს </w:t>
            </w:r>
            <w:r w:rsidRPr="002D6C8A">
              <w:rPr>
                <w:rFonts w:ascii="Sylfaen" w:hAnsi="Sylfaen"/>
                <w:lang w:val="ka-GE"/>
              </w:rPr>
              <w:lastRenderedPageBreak/>
              <w:t>უტოვებს თავისუფალი მოქმედების ვიწრო არეალს, რაც, უპირატესად, კონსტიტუციური მოთხოვნების დაცვით პროცედურული საკითხების მოწესრიგებას მოიცავს</w:t>
            </w:r>
            <w:r w:rsidR="002A35E1">
              <w:rPr>
                <w:rFonts w:ascii="Sylfaen" w:hAnsi="Sylfaen"/>
                <w:lang w:val="ka-GE"/>
              </w:rPr>
              <w:t>“</w:t>
            </w:r>
            <w:r w:rsidRPr="002D6C8A">
              <w:rPr>
                <w:rFonts w:ascii="Sylfaen" w:hAnsi="Sylfaen"/>
                <w:lang w:val="ka-GE"/>
              </w:rPr>
              <w:t>.</w:t>
            </w:r>
            <w:r w:rsidR="002A35E1">
              <w:rPr>
                <w:rStyle w:val="a8"/>
                <w:rFonts w:ascii="Sylfaen" w:hAnsi="Sylfaen"/>
                <w:lang w:val="ka-GE"/>
              </w:rPr>
              <w:footnoteReference w:id="12"/>
            </w:r>
            <w:r w:rsidRPr="00D84FE8">
              <w:rPr>
                <w:rFonts w:ascii="Sylfaen" w:hAnsi="Sylfaen"/>
                <w:lang w:val="ka-GE"/>
              </w:rPr>
              <w:t xml:space="preserve"> </w:t>
            </w:r>
          </w:p>
          <w:p w14:paraId="6DECD197" w14:textId="2389933A" w:rsidR="00E60AE2" w:rsidRDefault="00F52E23" w:rsidP="00552A67">
            <w:pPr>
              <w:ind w:firstLine="709"/>
              <w:jc w:val="both"/>
              <w:rPr>
                <w:rFonts w:ascii="Sylfaen" w:hAnsi="Sylfaen"/>
                <w:lang w:val="ka-GE"/>
              </w:rPr>
            </w:pPr>
            <w:r>
              <w:rPr>
                <w:rFonts w:ascii="Sylfaen" w:hAnsi="Sylfaen"/>
                <w:lang w:val="ka-GE"/>
              </w:rPr>
              <w:t xml:space="preserve">საკონსტიტუიციო სასამართლოს მიერ ზემოთნახსენები „პროცედურული საკითხების მოწესრიგების“ თავისუფლება ვერ განიმარტება სახელმწიფოს უფლებად შექმნას ისეთი რეგულაცია რომლითაც სრულად გააუქმებს კონსტიტუციური უფლებით სარგებლის შესაძლებლობას. </w:t>
            </w:r>
            <w:r w:rsidR="002A35E1">
              <w:rPr>
                <w:rFonts w:ascii="Sylfaen" w:hAnsi="Sylfaen"/>
                <w:lang w:val="ka-GE"/>
              </w:rPr>
              <w:t xml:space="preserve">მეტიც, </w:t>
            </w:r>
            <w:r>
              <w:rPr>
                <w:rFonts w:ascii="Sylfaen" w:hAnsi="Sylfaen"/>
                <w:lang w:val="ka-GE"/>
              </w:rPr>
              <w:t>პროცედურული საკითხების მოწესრიგების თავისუფლ</w:t>
            </w:r>
            <w:r w:rsidR="000E189A">
              <w:rPr>
                <w:rFonts w:ascii="Sylfaen" w:hAnsi="Sylfaen"/>
                <w:lang w:val="ka-GE"/>
              </w:rPr>
              <w:t>ე</w:t>
            </w:r>
            <w:r w:rsidR="002059B4">
              <w:rPr>
                <w:rFonts w:ascii="Sylfaen" w:hAnsi="Sylfaen"/>
                <w:lang w:val="ka-GE"/>
              </w:rPr>
              <w:t>ბის ვიწრო არეალში</w:t>
            </w:r>
            <w:r>
              <w:rPr>
                <w:rFonts w:ascii="Sylfaen" w:hAnsi="Sylfaen"/>
                <w:lang w:val="ka-GE"/>
              </w:rPr>
              <w:t xml:space="preserve"> უნდა ვიგულისხმოთ სახელმწიფოს ვალდებულება შექმნას კონსტიტუციური უფლების </w:t>
            </w:r>
            <w:r w:rsidR="00E60AE2">
              <w:rPr>
                <w:rFonts w:ascii="Sylfaen" w:hAnsi="Sylfaen"/>
                <w:lang w:val="ka-GE"/>
              </w:rPr>
              <w:t xml:space="preserve">ეფექტური </w:t>
            </w:r>
            <w:r>
              <w:rPr>
                <w:rFonts w:ascii="Sylfaen" w:hAnsi="Sylfaen"/>
                <w:lang w:val="ka-GE"/>
              </w:rPr>
              <w:t>რეალიზებისათ</w:t>
            </w:r>
            <w:r w:rsidR="00BB71E0">
              <w:rPr>
                <w:rFonts w:ascii="Sylfaen" w:hAnsi="Sylfaen"/>
                <w:lang w:val="ka-GE"/>
              </w:rPr>
              <w:t>ვის</w:t>
            </w:r>
            <w:r>
              <w:rPr>
                <w:rFonts w:ascii="Sylfaen" w:hAnsi="Sylfaen"/>
                <w:lang w:val="ka-GE"/>
              </w:rPr>
              <w:t xml:space="preserve"> საჭირო რეგულაციები. აღნიშნულის საპირისპიროდ ვხედავთ სიტუაციას, როდესაც სადავო ნორმით ხდება </w:t>
            </w:r>
            <w:r w:rsidR="00552A67">
              <w:rPr>
                <w:rFonts w:ascii="Sylfaen" w:hAnsi="Sylfaen"/>
                <w:lang w:val="ka-GE"/>
              </w:rPr>
              <w:t>სახელმწიფოს უკანონო ქმედებით მიყენებული ზიანის ანაღზაურების</w:t>
            </w:r>
            <w:r>
              <w:rPr>
                <w:rFonts w:ascii="Sylfaen" w:hAnsi="Sylfaen"/>
                <w:lang w:val="ka-GE"/>
              </w:rPr>
              <w:t xml:space="preserve"> უფლების </w:t>
            </w:r>
            <w:r w:rsidR="002059B4">
              <w:rPr>
                <w:rFonts w:ascii="Sylfaen" w:hAnsi="Sylfaen"/>
                <w:lang w:val="ka-GE"/>
              </w:rPr>
              <w:t xml:space="preserve">არათუ შეზღუდვა, არამედ </w:t>
            </w:r>
            <w:r>
              <w:rPr>
                <w:rFonts w:ascii="Sylfaen" w:hAnsi="Sylfaen"/>
                <w:lang w:val="ka-GE"/>
              </w:rPr>
              <w:t>სრულად ჩამორთმევა</w:t>
            </w:r>
            <w:r w:rsidR="0046604B">
              <w:rPr>
                <w:rFonts w:ascii="Sylfaen" w:hAnsi="Sylfaen"/>
                <w:lang w:val="ka-GE"/>
              </w:rPr>
              <w:t xml:space="preserve">, რაც წინააღდეგობაში მოდის კონსტიტუციასთან და საკონსტიტუციო სასამართლოს მიერ დადგენილ შემდეგ სტანდარტთან: </w:t>
            </w:r>
            <w:r w:rsidR="0046604B" w:rsidRPr="00337469">
              <w:rPr>
                <w:rFonts w:ascii="Sylfaen" w:hAnsi="Sylfaen"/>
                <w:lang w:val="ka-GE"/>
              </w:rPr>
              <w:t>„საქართველოს კონსტიტუცია არ უშვებს ისეთი საგამონაკლისო შემთხვევების დადგენას, როდესაც უკანონო დაპატიმრებით ან სახელმწიფო ორგანოთა და მოსამსახურეთა ნებისმიერი სხვა უკანონო მოქმედებით მიყენებული ზიანი არ ანაზღაურდება.“</w:t>
            </w:r>
            <w:r w:rsidR="0046604B" w:rsidRPr="00337469">
              <w:rPr>
                <w:rStyle w:val="a8"/>
                <w:rFonts w:ascii="Sylfaen" w:hAnsi="Sylfaen"/>
                <w:lang w:val="ka-GE"/>
              </w:rPr>
              <w:footnoteReference w:id="13"/>
            </w:r>
            <w:r>
              <w:rPr>
                <w:rFonts w:ascii="Sylfaen" w:hAnsi="Sylfaen"/>
                <w:lang w:val="ka-GE"/>
              </w:rPr>
              <w:t xml:space="preserve"> </w:t>
            </w:r>
          </w:p>
          <w:p w14:paraId="2F593EAC" w14:textId="3ECB5C28" w:rsidR="00E60AE2" w:rsidRDefault="0001162B" w:rsidP="0028540D">
            <w:pPr>
              <w:ind w:firstLine="709"/>
              <w:jc w:val="both"/>
              <w:rPr>
                <w:rFonts w:ascii="Sylfaen" w:hAnsi="Sylfaen"/>
                <w:lang w:val="ka-GE"/>
              </w:rPr>
            </w:pPr>
            <w:r>
              <w:rPr>
                <w:rFonts w:ascii="Sylfaen" w:hAnsi="Sylfaen"/>
                <w:lang w:val="ka-GE"/>
              </w:rPr>
              <w:t>ცალსახაა, რომ</w:t>
            </w:r>
            <w:r w:rsidR="0046604B">
              <w:rPr>
                <w:rFonts w:ascii="Sylfaen" w:hAnsi="Sylfaen"/>
                <w:lang w:val="ka-GE"/>
              </w:rPr>
              <w:t xml:space="preserve"> </w:t>
            </w:r>
            <w:r w:rsidR="0028540D">
              <w:rPr>
                <w:rFonts w:ascii="Sylfaen" w:hAnsi="Sylfaen"/>
                <w:lang w:val="ka-GE"/>
              </w:rPr>
              <w:t>კონსტიტუციით გარატირებულ უფლებაში ასეთი მაღალი ინტენსივობის ჩარევა (უფლების ჩამორთმევა) ექვემდებარება თანაზომიერების და აუცილებლობის ჭრილში მკაცრ შეფასებას, ვინაიდან</w:t>
            </w:r>
            <w:r w:rsidR="00BB71E0">
              <w:rPr>
                <w:rFonts w:ascii="Sylfaen" w:hAnsi="Sylfaen"/>
                <w:lang w:val="ka-GE"/>
              </w:rPr>
              <w:t>,</w:t>
            </w:r>
            <w:r w:rsidR="0028540D">
              <w:rPr>
                <w:rFonts w:ascii="Sylfaen" w:hAnsi="Sylfaen"/>
                <w:lang w:val="ka-GE"/>
              </w:rPr>
              <w:t xml:space="preserve"> ნაკლებ სავარაუდოა არსებობდეს ლეგიტიმური მიზანი</w:t>
            </w:r>
            <w:r w:rsidR="00BB71E0">
              <w:rPr>
                <w:rFonts w:ascii="Sylfaen" w:hAnsi="Sylfaen"/>
                <w:lang w:val="ka-GE"/>
              </w:rPr>
              <w:t>,</w:t>
            </w:r>
            <w:r w:rsidR="0028540D">
              <w:rPr>
                <w:rFonts w:ascii="Sylfaen" w:hAnsi="Sylfaen"/>
                <w:lang w:val="ka-GE"/>
              </w:rPr>
              <w:t xml:space="preserve"> რომელიც გაამართლებს კონსტიტუციური უფლების სრულად ჩამორთმევას.</w:t>
            </w:r>
          </w:p>
          <w:p w14:paraId="3E5CE2A4" w14:textId="1A9B36E3" w:rsidR="00E62EAE" w:rsidRDefault="00552A67" w:rsidP="00552A67">
            <w:pPr>
              <w:ind w:firstLine="709"/>
              <w:jc w:val="both"/>
              <w:rPr>
                <w:rFonts w:ascii="Sylfaen" w:hAnsi="Sylfaen"/>
                <w:lang w:val="ka-GE"/>
              </w:rPr>
            </w:pPr>
            <w:r>
              <w:rPr>
                <w:rFonts w:ascii="Sylfaen" w:hAnsi="Sylfaen"/>
                <w:lang w:val="ka-GE"/>
              </w:rPr>
              <w:t>თანაზომიერების ტესტის ნაწილში განსაკუთრებით მნიშვნელოვანია ის საკითხი, რომ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 საქართველოს კანონი სახელმწიფოს უკანონო ქმედების შედეგად მიყენებული ზიანის ანაზღაურების უფლებას ანიჭებს არა ყველას, ვინც შესაძლოა დაექვემდებაროს სახელმწიფოს მიერ არაკანონიერ მოპყრობას</w:t>
            </w:r>
            <w:r w:rsidR="002A35E1">
              <w:rPr>
                <w:rFonts w:ascii="Sylfaen" w:hAnsi="Sylfaen"/>
                <w:lang w:val="ka-GE"/>
              </w:rPr>
              <w:t>,</w:t>
            </w:r>
            <w:r>
              <w:rPr>
                <w:rFonts w:ascii="Sylfaen" w:hAnsi="Sylfaen"/>
                <w:lang w:val="ka-GE"/>
              </w:rPr>
              <w:t xml:space="preserve"> არამედ პირთა მხოლოდ კონკრეტულ ჯგუფს. საქართველოს საკონსტიტუციო სასამართლომ  </w:t>
            </w:r>
            <w:r w:rsidR="002A35E1">
              <w:rPr>
                <w:rFonts w:ascii="Sylfaen" w:hAnsi="Sylfaen"/>
                <w:lang w:val="ka-GE"/>
              </w:rPr>
              <w:t xml:space="preserve">აღნიშნული კანონის მიზნებთან დაკავშირებით </w:t>
            </w:r>
            <w:r w:rsidRPr="002A35E1">
              <w:rPr>
                <w:rFonts w:ascii="Sylfaen" w:hAnsi="Sylfaen"/>
                <w:lang w:val="ka-GE"/>
              </w:rPr>
              <w:t>N2/2/1283 განჩინებაში განმარტა: “</w:t>
            </w:r>
            <w:r w:rsidRPr="00552A67">
              <w:rPr>
                <w:rFonts w:ascii="Sylfaen" w:hAnsi="Sylfaen"/>
                <w:lang w:val="ka-GE"/>
              </w:rPr>
              <w:t>ნათელია, რომ კანონის მიზანი იყო არა პოლიტიკური რეპრესიის მსხვერპლად აღიარებისა და რეპრესირებულთა სოციალური დაცვის შესახებ ზოგადი, ყოვლისმომცველი საკანონმდებლო ჩარჩოს შემუშავება, არამედ კანონის მიღებამდე პერიოდში სახელმწიფოს მიერ უკვე განხორციელებული რიგი ქმედებების შეფასება და სახელმწიფოს მოქმედების შედეგად დაზარალებული პირების გარკვეულწილად კომპენსირება. ამდენად, სადავო კანონმა იმ პირების მიმართ, რომლებმაც პოლიტიკური რეპრესია განიცადეს ამ კანონის ამოქმედებამდე, ყოფილი სსრკ-ის ტერიტორიაზე 1921 წლის თებერვლიდან 1990 წლის 28 ოქტომბრამდე და შემდგომ დამოუკიდებელი საქართველოს ტერიტორიაზე, შეიმუშავა კომპენსირების სპეციალური წესი.</w:t>
            </w:r>
            <w:r>
              <w:rPr>
                <w:rFonts w:ascii="Sylfaen" w:hAnsi="Sylfaen"/>
                <w:lang w:val="ka-GE"/>
              </w:rPr>
              <w:t>“</w:t>
            </w:r>
            <w:r w:rsidR="002059B4">
              <w:rPr>
                <w:rStyle w:val="a8"/>
                <w:rFonts w:ascii="Sylfaen" w:hAnsi="Sylfaen"/>
                <w:lang w:val="ka-GE"/>
              </w:rPr>
              <w:footnoteReference w:id="14"/>
            </w:r>
            <w:r>
              <w:rPr>
                <w:rFonts w:ascii="Sylfaen" w:hAnsi="Sylfaen"/>
                <w:lang w:val="ka-GE"/>
              </w:rPr>
              <w:t xml:space="preserve"> </w:t>
            </w:r>
            <w:r w:rsidR="0046604B">
              <w:rPr>
                <w:rFonts w:ascii="Sylfaen" w:hAnsi="Sylfaen"/>
                <w:lang w:val="ka-GE"/>
              </w:rPr>
              <w:t xml:space="preserve">აღნიშნულიდან </w:t>
            </w:r>
            <w:r w:rsidR="002A35E1">
              <w:rPr>
                <w:rFonts w:ascii="Sylfaen" w:hAnsi="Sylfaen"/>
                <w:lang w:val="ka-GE"/>
              </w:rPr>
              <w:t>გამომდინარე ცალსახაა, რომ</w:t>
            </w:r>
            <w:r w:rsidR="002059B4">
              <w:rPr>
                <w:rFonts w:ascii="Sylfaen" w:hAnsi="Sylfaen"/>
                <w:lang w:val="ka-GE"/>
              </w:rPr>
              <w:t xml:space="preserve">, </w:t>
            </w:r>
            <w:r>
              <w:rPr>
                <w:rFonts w:ascii="Sylfaen" w:hAnsi="Sylfaen"/>
                <w:lang w:val="ka-GE"/>
              </w:rPr>
              <w:t xml:space="preserve">ხსენებული კანონით გათვალისწინებული ანაზაურების მიღების უფლება </w:t>
            </w:r>
            <w:r w:rsidR="002059B4">
              <w:rPr>
                <w:rFonts w:ascii="Sylfaen" w:hAnsi="Sylfaen"/>
                <w:lang w:val="ka-GE"/>
              </w:rPr>
              <w:t xml:space="preserve">წარმოეშობა პირთა მხოლოდ ვიწროდ შემოსაზღვრულ ჯგუფს რომელთა რაოდენობა ვერ გაიზრდება წლების მატებასთან ერთად. </w:t>
            </w:r>
            <w:r w:rsidR="00FE65FE">
              <w:rPr>
                <w:rFonts w:ascii="Sylfaen" w:hAnsi="Sylfaen"/>
                <w:lang w:val="ka-GE"/>
              </w:rPr>
              <w:t>შესაბამისად</w:t>
            </w:r>
            <w:r w:rsidR="00BB71E0">
              <w:rPr>
                <w:rFonts w:ascii="Sylfaen" w:hAnsi="Sylfaen"/>
                <w:lang w:val="ka-GE"/>
              </w:rPr>
              <w:t>,</w:t>
            </w:r>
            <w:r w:rsidR="00FE65FE">
              <w:rPr>
                <w:rFonts w:ascii="Sylfaen" w:hAnsi="Sylfaen"/>
                <w:lang w:val="ka-GE"/>
              </w:rPr>
              <w:t xml:space="preserve"> </w:t>
            </w:r>
            <w:r w:rsidR="002A35E1">
              <w:rPr>
                <w:rFonts w:ascii="Sylfaen" w:hAnsi="Sylfaen"/>
                <w:lang w:val="ka-GE"/>
              </w:rPr>
              <w:t>გაუგებარია</w:t>
            </w:r>
            <w:r w:rsidR="00E62EAE">
              <w:rPr>
                <w:rFonts w:ascii="Sylfaen" w:hAnsi="Sylfaen"/>
                <w:lang w:val="ka-GE"/>
              </w:rPr>
              <w:t xml:space="preserve"> თუ</w:t>
            </w:r>
            <w:r w:rsidR="002A35E1">
              <w:rPr>
                <w:rFonts w:ascii="Sylfaen" w:hAnsi="Sylfaen"/>
                <w:lang w:val="ka-GE"/>
              </w:rPr>
              <w:t xml:space="preserve"> რატომ</w:t>
            </w:r>
            <w:r w:rsidR="00FE65FE">
              <w:rPr>
                <w:rFonts w:ascii="Sylfaen" w:hAnsi="Sylfaen"/>
                <w:lang w:val="ka-GE"/>
              </w:rPr>
              <w:t xml:space="preserve"> მიეცა კომპენსაციის მიღების უფლება 1921-1990 წლებში რეპრესირებული პირების  მხოლოდ ნაწილს და რა მიზეზით</w:t>
            </w:r>
            <w:r w:rsidR="002A35E1">
              <w:rPr>
                <w:rFonts w:ascii="Sylfaen" w:hAnsi="Sylfaen"/>
                <w:lang w:val="ka-GE"/>
              </w:rPr>
              <w:t xml:space="preserve"> ჩამო</w:t>
            </w:r>
            <w:r w:rsidR="00E62EAE">
              <w:rPr>
                <w:rFonts w:ascii="Sylfaen" w:hAnsi="Sylfaen"/>
                <w:lang w:val="ka-GE"/>
              </w:rPr>
              <w:t>ე</w:t>
            </w:r>
            <w:r w:rsidR="002A35E1">
              <w:rPr>
                <w:rFonts w:ascii="Sylfaen" w:hAnsi="Sylfaen"/>
                <w:lang w:val="ka-GE"/>
              </w:rPr>
              <w:t>რთვა სახელმწიფოს</w:t>
            </w:r>
            <w:r w:rsidR="00E62EAE">
              <w:rPr>
                <w:rFonts w:ascii="Sylfaen" w:hAnsi="Sylfaen"/>
                <w:lang w:val="ka-GE"/>
              </w:rPr>
              <w:t>გან</w:t>
            </w:r>
            <w:r w:rsidR="002A35E1">
              <w:rPr>
                <w:rFonts w:ascii="Sylfaen" w:hAnsi="Sylfaen"/>
                <w:lang w:val="ka-GE"/>
              </w:rPr>
              <w:t xml:space="preserve"> კომპენსაციის მიღების შესაძლებლობა </w:t>
            </w:r>
            <w:r w:rsidR="00FE65FE">
              <w:rPr>
                <w:rFonts w:ascii="Sylfaen" w:hAnsi="Sylfaen"/>
                <w:lang w:val="ka-GE"/>
              </w:rPr>
              <w:t xml:space="preserve">იმ რეპრესირებულ პირებს, </w:t>
            </w:r>
            <w:r w:rsidR="00E62EAE">
              <w:rPr>
                <w:rFonts w:ascii="Sylfaen" w:hAnsi="Sylfaen"/>
                <w:lang w:val="ka-GE"/>
              </w:rPr>
              <w:t>რომელთაც არ მიმართეს სასამართლოს 2012 წლის 19 მაისამდე</w:t>
            </w:r>
            <w:r w:rsidR="002A35E1">
              <w:rPr>
                <w:rFonts w:ascii="Sylfaen" w:hAnsi="Sylfaen"/>
                <w:lang w:val="ka-GE"/>
              </w:rPr>
              <w:t xml:space="preserve">. </w:t>
            </w:r>
          </w:p>
          <w:p w14:paraId="559EF891" w14:textId="0883AF2D" w:rsidR="00552A67" w:rsidRDefault="0028540D" w:rsidP="00552A67">
            <w:pPr>
              <w:ind w:firstLine="709"/>
              <w:jc w:val="both"/>
              <w:rPr>
                <w:rFonts w:ascii="Sylfaen" w:hAnsi="Sylfaen"/>
                <w:lang w:val="ka-GE"/>
              </w:rPr>
            </w:pPr>
            <w:r>
              <w:rPr>
                <w:rFonts w:ascii="Sylfaen" w:hAnsi="Sylfaen"/>
                <w:lang w:val="ka-GE"/>
              </w:rPr>
              <w:t>უნდა აღინიშნოს</w:t>
            </w:r>
            <w:r w:rsidR="002A35E1">
              <w:rPr>
                <w:rFonts w:ascii="Sylfaen" w:hAnsi="Sylfaen"/>
                <w:lang w:val="ka-GE"/>
              </w:rPr>
              <w:t xml:space="preserve"> ის</w:t>
            </w:r>
            <w:r>
              <w:rPr>
                <w:rFonts w:ascii="Sylfaen" w:hAnsi="Sylfaen"/>
                <w:lang w:val="ka-GE"/>
              </w:rPr>
              <w:t xml:space="preserve"> ფაქტიც</w:t>
            </w:r>
            <w:r w:rsidR="002A35E1">
              <w:rPr>
                <w:rFonts w:ascii="Sylfaen" w:hAnsi="Sylfaen"/>
                <w:lang w:val="ka-GE"/>
              </w:rPr>
              <w:t>, რომ</w:t>
            </w:r>
            <w:r w:rsidR="00E62EAE">
              <w:rPr>
                <w:rFonts w:ascii="Sylfaen" w:hAnsi="Sylfaen"/>
                <w:lang w:val="ka-GE"/>
              </w:rPr>
              <w:t xml:space="preserve"> 1921-1990 წლებში რეპრესირებულ პირთა</w:t>
            </w:r>
            <w:r w:rsidR="002A35E1">
              <w:rPr>
                <w:rFonts w:ascii="Sylfaen" w:hAnsi="Sylfaen"/>
                <w:lang w:val="ka-GE"/>
              </w:rPr>
              <w:t xml:space="preserve"> </w:t>
            </w:r>
            <w:r w:rsidR="00E62EAE">
              <w:rPr>
                <w:rFonts w:ascii="Sylfaen" w:hAnsi="Sylfaen"/>
                <w:lang w:val="ka-GE"/>
              </w:rPr>
              <w:t xml:space="preserve">კონკრეტული, შემოსაზღვრული </w:t>
            </w:r>
            <w:r w:rsidR="002A35E1">
              <w:rPr>
                <w:rFonts w:ascii="Sylfaen" w:hAnsi="Sylfaen"/>
                <w:lang w:val="ka-GE"/>
              </w:rPr>
              <w:t xml:space="preserve">რაოდენობიდან გამომდინარე </w:t>
            </w:r>
            <w:r w:rsidR="002059B4">
              <w:rPr>
                <w:rFonts w:ascii="Sylfaen" w:hAnsi="Sylfaen"/>
                <w:lang w:val="ka-GE"/>
              </w:rPr>
              <w:t>არ არ</w:t>
            </w:r>
            <w:r>
              <w:rPr>
                <w:rFonts w:ascii="Sylfaen" w:hAnsi="Sylfaen"/>
                <w:lang w:val="ka-GE"/>
              </w:rPr>
              <w:t>ს</w:t>
            </w:r>
            <w:r w:rsidR="002059B4">
              <w:rPr>
                <w:rFonts w:ascii="Sylfaen" w:hAnsi="Sylfaen"/>
                <w:lang w:val="ka-GE"/>
              </w:rPr>
              <w:t xml:space="preserve">ებობს სახელმწიფო საბიუჯეტო სახსრების </w:t>
            </w:r>
            <w:r>
              <w:rPr>
                <w:rFonts w:ascii="Sylfaen" w:hAnsi="Sylfaen"/>
                <w:lang w:val="ka-GE"/>
              </w:rPr>
              <w:t>გაუმართლებლად მაღალი ოდენობის ხარჯვის რისკი</w:t>
            </w:r>
            <w:r w:rsidR="002059B4">
              <w:rPr>
                <w:rFonts w:ascii="Sylfaen" w:hAnsi="Sylfaen"/>
                <w:lang w:val="ka-GE"/>
              </w:rPr>
              <w:t xml:space="preserve"> და სახელმწიფოს ფინანსური სტაბილურობის </w:t>
            </w:r>
            <w:r w:rsidR="002059B4">
              <w:rPr>
                <w:rFonts w:ascii="Sylfaen" w:hAnsi="Sylfaen"/>
                <w:lang w:val="ka-GE"/>
              </w:rPr>
              <w:lastRenderedPageBreak/>
              <w:t>მიზანი ვერ გამოდგება სადავო რეგულაციი</w:t>
            </w:r>
            <w:r w:rsidR="0001162B">
              <w:rPr>
                <w:rFonts w:ascii="Sylfaen" w:hAnsi="Sylfaen"/>
                <w:lang w:val="ka-GE"/>
              </w:rPr>
              <w:t xml:space="preserve">თ დადგენილი შეზღუდვის </w:t>
            </w:r>
            <w:r w:rsidR="002059B4">
              <w:rPr>
                <w:rFonts w:ascii="Sylfaen" w:hAnsi="Sylfaen"/>
                <w:lang w:val="ka-GE"/>
              </w:rPr>
              <w:t>გასამართლებლად</w:t>
            </w:r>
            <w:r>
              <w:rPr>
                <w:rFonts w:ascii="Sylfaen" w:hAnsi="Sylfaen"/>
                <w:lang w:val="ka-GE"/>
              </w:rPr>
              <w:t>. ამ ჭრილში მნიშვნელოვანია ისიც, რომ</w:t>
            </w:r>
            <w:r w:rsidR="00E62EAE">
              <w:rPr>
                <w:rFonts w:ascii="Sylfaen" w:hAnsi="Sylfaen"/>
                <w:lang w:val="ka-GE"/>
              </w:rPr>
              <w:t xml:space="preserve"> სახელმწიფომ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 საქართველოს კანონში</w:t>
            </w:r>
            <w:r>
              <w:rPr>
                <w:rFonts w:ascii="Sylfaen" w:hAnsi="Sylfaen"/>
                <w:lang w:val="ka-GE"/>
              </w:rPr>
              <w:t xml:space="preserve"> </w:t>
            </w:r>
            <w:r w:rsidR="00E62EAE">
              <w:rPr>
                <w:rFonts w:ascii="Sylfaen" w:hAnsi="Sylfaen"/>
                <w:lang w:val="ka-GE"/>
              </w:rPr>
              <w:t xml:space="preserve"> ცვლილების შეტანის თაობაზე საქართველოს 2014 წლის 31 ოქტომბრის კანონის პირველი მუხლის „ბ“ ქვეპუნქტით </w:t>
            </w:r>
            <w:r>
              <w:rPr>
                <w:rFonts w:ascii="Sylfaen" w:hAnsi="Sylfaen"/>
                <w:lang w:val="ka-GE"/>
              </w:rPr>
              <w:t>გაუთვალისწინებელი ხარჯების თავიდან ასაცილებლად სახელმწიფომ დაადგინა</w:t>
            </w:r>
            <w:r w:rsidR="00E62EAE">
              <w:rPr>
                <w:rFonts w:ascii="Sylfaen" w:hAnsi="Sylfaen"/>
                <w:lang w:val="ka-GE"/>
              </w:rPr>
              <w:t xml:space="preserve"> ფულადი კომპენსაციის ზღვარი: „ფულადი კომპენსაციის ოდენობას, ამ მუხლის პირველ პუნქტში მითითებული იძულების სხვადასხვა ფორმის სიმძიმის, აგრეთვე რეპრესირებული პირის ან მისი პირველი რიგის მემკვიდრის ასაკის, ჯანმრთელობის მდგომარეობისა და სხვა ობიექტური ფაქტორების გათვალისწინებით, ადგენს სასამართლო. ფულადი კომენსაციის ოდენობაა არანაკლებს 1000 და არაუმეტეს 2000 ლარისა.“</w:t>
            </w:r>
            <w:r w:rsidR="00337469">
              <w:rPr>
                <w:rStyle w:val="a8"/>
                <w:rFonts w:ascii="Sylfaen" w:hAnsi="Sylfaen"/>
                <w:lang w:val="ka-GE"/>
              </w:rPr>
              <w:footnoteReference w:id="15"/>
            </w:r>
          </w:p>
          <w:p w14:paraId="77D61E10" w14:textId="2F95EA25" w:rsidR="007F1D75" w:rsidRDefault="00337469" w:rsidP="007F1D75">
            <w:pPr>
              <w:ind w:firstLine="709"/>
              <w:jc w:val="both"/>
              <w:rPr>
                <w:rFonts w:ascii="Sylfaen" w:hAnsi="Sylfaen"/>
                <w:lang w:val="ka-GE"/>
              </w:rPr>
            </w:pPr>
            <w:r>
              <w:rPr>
                <w:rFonts w:ascii="Sylfaen" w:hAnsi="Sylfaen"/>
                <w:lang w:val="ka-GE"/>
              </w:rPr>
              <w:t>ყოველივე ზემოხსენებული ადასტურებს</w:t>
            </w:r>
            <w:r w:rsidR="007F1D75">
              <w:rPr>
                <w:rFonts w:ascii="Sylfaen" w:hAnsi="Sylfaen"/>
                <w:lang w:val="ka-GE"/>
              </w:rPr>
              <w:t>, რომ სადავო ნორმ</w:t>
            </w:r>
            <w:r w:rsidR="0028540D">
              <w:rPr>
                <w:rFonts w:ascii="Sylfaen" w:hAnsi="Sylfaen"/>
                <w:lang w:val="ka-GE"/>
              </w:rPr>
              <w:t>ით დადგენილ შეზღუდვ</w:t>
            </w:r>
            <w:r w:rsidR="001402D7">
              <w:rPr>
                <w:rFonts w:ascii="Sylfaen" w:hAnsi="Sylfaen"/>
                <w:lang w:val="ka-GE"/>
              </w:rPr>
              <w:t>ა ვერ აკამყოფილებს აუცილებ</w:t>
            </w:r>
            <w:r w:rsidR="00BB71E0">
              <w:rPr>
                <w:rFonts w:ascii="Sylfaen" w:hAnsi="Sylfaen"/>
                <w:lang w:val="ka-GE"/>
              </w:rPr>
              <w:t>ლ</w:t>
            </w:r>
            <w:r w:rsidR="001402D7">
              <w:rPr>
                <w:rFonts w:ascii="Sylfaen" w:hAnsi="Sylfaen"/>
                <w:lang w:val="ka-GE"/>
              </w:rPr>
              <w:t>ობისა და თანაზომიერების სტანდა</w:t>
            </w:r>
            <w:r w:rsidR="00BB71E0">
              <w:rPr>
                <w:rFonts w:ascii="Sylfaen" w:hAnsi="Sylfaen"/>
                <w:lang w:val="ka-GE"/>
              </w:rPr>
              <w:t>რ</w:t>
            </w:r>
            <w:r w:rsidR="001402D7">
              <w:rPr>
                <w:rFonts w:ascii="Sylfaen" w:hAnsi="Sylfaen"/>
                <w:lang w:val="ka-GE"/>
              </w:rPr>
              <w:t>ტებს,</w:t>
            </w:r>
            <w:r w:rsidR="007F1D75">
              <w:rPr>
                <w:rFonts w:ascii="Sylfaen" w:hAnsi="Sylfaen"/>
                <w:lang w:val="ka-GE"/>
              </w:rPr>
              <w:t xml:space="preserve"> ეწინააღმდეგება საქართველოს კონსტიტუციის მე-18 მუხლის მე-4 პუნქტს და არაკონსტიტუციურია. </w:t>
            </w:r>
          </w:p>
          <w:p w14:paraId="6C4C42A5" w14:textId="77777777" w:rsidR="007F1D75" w:rsidRPr="00BE01AE" w:rsidRDefault="007F1D75" w:rsidP="007F1D75">
            <w:pPr>
              <w:ind w:firstLine="709"/>
              <w:jc w:val="both"/>
              <w:rPr>
                <w:rFonts w:ascii="Sylfaen" w:hAnsi="Sylfaen"/>
                <w:lang w:val="ka-GE"/>
              </w:rPr>
            </w:pPr>
          </w:p>
          <w:p w14:paraId="44A5B771" w14:textId="77777777" w:rsidR="007F1D75" w:rsidRPr="00BE01AE" w:rsidRDefault="007F1D75" w:rsidP="007F1D75">
            <w:pPr>
              <w:ind w:firstLine="709"/>
              <w:jc w:val="both"/>
              <w:rPr>
                <w:rFonts w:ascii="Sylfaen" w:hAnsi="Sylfaen"/>
                <w:b/>
                <w:bCs/>
                <w:lang w:val="ka-GE"/>
              </w:rPr>
            </w:pPr>
            <w:r w:rsidRPr="00BE01AE">
              <w:rPr>
                <w:rFonts w:ascii="Sylfaen" w:hAnsi="Sylfaen"/>
                <w:b/>
                <w:bCs/>
                <w:lang w:val="ka-GE"/>
              </w:rPr>
              <w:t>განჭვრეტადობის</w:t>
            </w:r>
            <w:r>
              <w:rPr>
                <w:rFonts w:ascii="Sylfaen" w:hAnsi="Sylfaen"/>
                <w:b/>
                <w:bCs/>
                <w:lang w:val="ka-GE"/>
              </w:rPr>
              <w:t xml:space="preserve"> და ხელმისაწვდომობის</w:t>
            </w:r>
            <w:r w:rsidRPr="00BE01AE">
              <w:rPr>
                <w:rFonts w:ascii="Sylfaen" w:hAnsi="Sylfaen"/>
                <w:b/>
                <w:bCs/>
                <w:lang w:val="ka-GE"/>
              </w:rPr>
              <w:t xml:space="preserve"> სტანდარტის დარღვევა</w:t>
            </w:r>
          </w:p>
          <w:p w14:paraId="247B3B80" w14:textId="77777777" w:rsidR="007F1D75" w:rsidRPr="00BE01AE" w:rsidRDefault="007F1D75" w:rsidP="007F1D75">
            <w:pPr>
              <w:ind w:firstLine="709"/>
              <w:jc w:val="both"/>
              <w:rPr>
                <w:rFonts w:ascii="Sylfaen" w:hAnsi="Sylfaen"/>
                <w:lang w:val="ka-GE"/>
              </w:rPr>
            </w:pPr>
          </w:p>
          <w:p w14:paraId="26A661FD" w14:textId="1B4DC9B9" w:rsidR="007F1D75" w:rsidRDefault="007F1D75" w:rsidP="007F1D75">
            <w:pPr>
              <w:ind w:firstLine="709"/>
              <w:jc w:val="both"/>
              <w:rPr>
                <w:rFonts w:ascii="Sylfaen" w:hAnsi="Sylfaen"/>
                <w:lang w:val="ka-GE"/>
              </w:rPr>
            </w:pPr>
            <w:r>
              <w:rPr>
                <w:rFonts w:ascii="Sylfaen" w:hAnsi="Sylfaen"/>
                <w:lang w:val="ka-GE"/>
              </w:rPr>
              <w:t>სადავო ნორმა თავისი შინაარსით არაკონსტიტუციურია იმის მიუხედავად თუ რომელ აქტში და რა ფორმით იქნებოდა ის ასახული</w:t>
            </w:r>
            <w:r w:rsidR="00BB71E0">
              <w:rPr>
                <w:rFonts w:ascii="Sylfaen" w:hAnsi="Sylfaen"/>
                <w:lang w:val="ka-GE"/>
              </w:rPr>
              <w:t>.</w:t>
            </w:r>
            <w:r>
              <w:rPr>
                <w:rFonts w:ascii="Sylfaen" w:hAnsi="Sylfaen"/>
                <w:lang w:val="ka-GE"/>
              </w:rPr>
              <w:t xml:space="preserve"> თუმცა</w:t>
            </w:r>
            <w:r w:rsidR="00BB71E0">
              <w:rPr>
                <w:rFonts w:ascii="Sylfaen" w:hAnsi="Sylfaen"/>
                <w:lang w:val="ka-GE"/>
              </w:rPr>
              <w:t>,</w:t>
            </w:r>
            <w:r>
              <w:rPr>
                <w:rFonts w:ascii="Sylfaen" w:hAnsi="Sylfaen"/>
                <w:lang w:val="ka-GE"/>
              </w:rPr>
              <w:t xml:space="preserve"> მოცემულ შემთხვევში</w:t>
            </w:r>
            <w:r w:rsidR="00BB71E0">
              <w:rPr>
                <w:rFonts w:ascii="Sylfaen" w:hAnsi="Sylfaen"/>
                <w:lang w:val="ka-GE"/>
              </w:rPr>
              <w:t>,</w:t>
            </w:r>
            <w:r>
              <w:rPr>
                <w:rFonts w:ascii="Sylfaen" w:hAnsi="Sylfaen"/>
                <w:lang w:val="ka-GE"/>
              </w:rPr>
              <w:t xml:space="preserve"> დამატებით დარღვეულია კანონის განჭვრეტადობისა და ხელმისაწვდომობის სტანდარტიც.</w:t>
            </w:r>
          </w:p>
          <w:p w14:paraId="5809DB22" w14:textId="3499E4B3" w:rsidR="007F1D75" w:rsidRPr="00180E3A" w:rsidRDefault="007F1D75" w:rsidP="007F1D75">
            <w:pPr>
              <w:ind w:firstLine="709"/>
              <w:jc w:val="both"/>
              <w:rPr>
                <w:rFonts w:ascii="Sylfaen" w:hAnsi="Sylfaen"/>
                <w:lang w:val="ka-GE"/>
              </w:rPr>
            </w:pPr>
            <w:r>
              <w:rPr>
                <w:rFonts w:ascii="Sylfaen" w:hAnsi="Sylfaen"/>
                <w:lang w:val="ka-GE"/>
              </w:rPr>
              <w:t>კანონის განჭვრეტადობა და ხელმისაწვდომობა სამართლებრივი სახელმწიფოს აუცილებელი კომპონენტია. სწორედ ასეთი კანონმდებლობა უზრუნველყოფს რომ პირი დაცული იყოს სახელმწიფოს თვითნებობისგან და საკუთარი ქცევა შეუსაბამოს დადგენილ მოთხოვნებს. საქართველოს საკონსტიტუციო სასამართლოს განმარტებით „</w:t>
            </w:r>
            <w:r w:rsidRPr="00180E3A">
              <w:rPr>
                <w:rFonts w:ascii="Sylfaen" w:hAnsi="Sylfaen"/>
                <w:lang w:val="ka-GE"/>
              </w:rPr>
              <w:t>კანონის ხელმისაწვდომობა და დადგენილი წესით საჯარო გამოქვეყნება პირდაპირ კავშირშია სამართლის ცოდნის ფიქციასთან და სამართლებრივი სახელმწიფოს სასიცოცხლოდ მნიშვნელოვან მახასიათებელს წარმოადგენს. სამართლებრივი სახელმწიფოს პრინციპი მოითხოვს, რომ ძირითადი უფლების შემზღუდავი ნორმები ხელმისაწვდომი იყოს ადრესატისათვის, რათა ამ უკანასკნელმა შეძლოს საკუთარი ქმედებების სამართლის ნორმებთან შესაბამისობის უზრუნველყოფა</w:t>
            </w:r>
            <w:r w:rsidR="007559B5">
              <w:rPr>
                <w:rFonts w:ascii="Sylfaen" w:hAnsi="Sylfaen"/>
                <w:lang w:val="ka-GE"/>
              </w:rPr>
              <w:t>“.</w:t>
            </w:r>
            <w:r w:rsidR="007559B5">
              <w:rPr>
                <w:rStyle w:val="a8"/>
                <w:rFonts w:ascii="Sylfaen" w:hAnsi="Sylfaen"/>
                <w:lang w:val="ka-GE"/>
              </w:rPr>
              <w:footnoteReference w:id="16"/>
            </w:r>
            <w:r>
              <w:rPr>
                <w:rFonts w:ascii="Sylfaen" w:hAnsi="Sylfaen"/>
                <w:lang w:val="ka-GE"/>
              </w:rPr>
              <w:t xml:space="preserve"> </w:t>
            </w:r>
          </w:p>
          <w:p w14:paraId="0D289859" w14:textId="1240840B" w:rsidR="007F1D75" w:rsidRDefault="007F1D75" w:rsidP="007F1D75">
            <w:pPr>
              <w:ind w:firstLine="709"/>
              <w:jc w:val="both"/>
              <w:rPr>
                <w:rFonts w:ascii="Sylfaen" w:hAnsi="Sylfaen"/>
                <w:lang w:val="ka-GE"/>
              </w:rPr>
            </w:pPr>
            <w:r>
              <w:rPr>
                <w:rFonts w:ascii="Sylfaen" w:hAnsi="Sylfaen"/>
                <w:lang w:val="ka-GE"/>
              </w:rPr>
              <w:t>მოცემულ საქმეში სადავოდ ქცეული ნორმა წარმოადგენს ცვლილებებისა და დამატებების შემ</w:t>
            </w:r>
            <w:r w:rsidR="007559B5">
              <w:rPr>
                <w:rFonts w:ascii="Sylfaen" w:hAnsi="Sylfaen"/>
                <w:lang w:val="ka-GE"/>
              </w:rPr>
              <w:t>ტ</w:t>
            </w:r>
            <w:r>
              <w:rPr>
                <w:rFonts w:ascii="Sylfaen" w:hAnsi="Sylfaen"/>
                <w:lang w:val="ka-GE"/>
              </w:rPr>
              <w:t xml:space="preserve">ანი კანონის მე-2 მუხლს რომელიც ადგენს კონსტიტუციური უფლებით სარგებლობის ზოგად წესს - კონსტიტუციური უფლებით სარგებლობის ვადას, თუმცა ეს </w:t>
            </w:r>
            <w:r w:rsidR="007559B5">
              <w:rPr>
                <w:rFonts w:ascii="Sylfaen" w:hAnsi="Sylfaen"/>
                <w:lang w:val="ka-GE"/>
              </w:rPr>
              <w:t xml:space="preserve">დანაწესი </w:t>
            </w:r>
            <w:r>
              <w:rPr>
                <w:rFonts w:ascii="Sylfaen" w:hAnsi="Sylfaen"/>
                <w:lang w:val="ka-GE"/>
              </w:rPr>
              <w:t xml:space="preserve">არსებობას განაგრძობს </w:t>
            </w:r>
            <w:r w:rsidR="007559B5">
              <w:rPr>
                <w:rFonts w:ascii="Sylfaen" w:hAnsi="Sylfaen"/>
                <w:lang w:val="ka-GE"/>
              </w:rPr>
              <w:t>მხოლოდ ცვლილებები</w:t>
            </w:r>
            <w:r w:rsidR="00BB71E0">
              <w:rPr>
                <w:rFonts w:ascii="Sylfaen" w:hAnsi="Sylfaen"/>
                <w:lang w:val="ka-GE"/>
              </w:rPr>
              <w:t>ს</w:t>
            </w:r>
            <w:r w:rsidR="007559B5">
              <w:rPr>
                <w:rFonts w:ascii="Sylfaen" w:hAnsi="Sylfaen"/>
                <w:lang w:val="ka-GE"/>
              </w:rPr>
              <w:t xml:space="preserve"> შემტან კანონში </w:t>
            </w:r>
            <w:r>
              <w:rPr>
                <w:rFonts w:ascii="Sylfaen" w:hAnsi="Sylfaen"/>
                <w:lang w:val="ka-GE"/>
              </w:rPr>
              <w:t>და არ ინტეგრირდება ძირითად კანონში</w:t>
            </w:r>
            <w:r w:rsidR="007559B5">
              <w:rPr>
                <w:rFonts w:ascii="Sylfaen" w:hAnsi="Sylfaen"/>
                <w:lang w:val="ka-GE"/>
              </w:rPr>
              <w:t>. ამით ირღვევა</w:t>
            </w:r>
            <w:r>
              <w:rPr>
                <w:rFonts w:ascii="Sylfaen" w:hAnsi="Sylfaen"/>
                <w:lang w:val="ka-GE"/>
              </w:rPr>
              <w:t xml:space="preserve"> კანონის ხელმისაწვდომობის პრინციპ</w:t>
            </w:r>
            <w:r w:rsidR="007559B5">
              <w:rPr>
                <w:rFonts w:ascii="Sylfaen" w:hAnsi="Sylfaen"/>
                <w:lang w:val="ka-GE"/>
              </w:rPr>
              <w:t>ი</w:t>
            </w:r>
            <w:r>
              <w:rPr>
                <w:rFonts w:ascii="Sylfaen" w:hAnsi="Sylfaen"/>
                <w:lang w:val="ka-GE"/>
              </w:rPr>
              <w:t xml:space="preserve">. </w:t>
            </w:r>
          </w:p>
          <w:p w14:paraId="69693E82" w14:textId="27AF793D" w:rsidR="007F1D75" w:rsidRDefault="007F1D75" w:rsidP="007F1D75">
            <w:pPr>
              <w:ind w:firstLine="709"/>
              <w:jc w:val="both"/>
              <w:rPr>
                <w:rFonts w:ascii="Sylfaen" w:hAnsi="Sylfaen"/>
                <w:lang w:val="ka-GE"/>
              </w:rPr>
            </w:pPr>
            <w:r>
              <w:rPr>
                <w:rFonts w:ascii="Sylfaen" w:hAnsi="Sylfaen"/>
                <w:lang w:val="ka-GE"/>
              </w:rPr>
              <w:t>საქართველოს საკონსტიტუციო სასამართლომ 2023 წლის 15 დეკემბრის გადაწყვეტილებაში გააკეთა შემდეგი განმარტება: „</w:t>
            </w:r>
            <w:r w:rsidRPr="0000393B">
              <w:rPr>
                <w:rFonts w:ascii="Sylfaen" w:hAnsi="Sylfaen"/>
                <w:lang w:val="ka-GE"/>
              </w:rPr>
              <w:t xml:space="preserve">ამა თუ იმ ნორმის განჭვრეტადობის ხარისხისა თუ მისი ხელმისაწვდომობის განმსაზღვრელი ვერ გახდება თავისთავად ის გარემოება, იგი კანონშია მითითებული თუ კანონქვემდებარე ნორმატიულ აქტში. ნორმის განჭვრეტადობის ხარისხი უკავშირდება ნორმის შინაარსს, მისი დებულებების სიცხადეს და არა ნორმატიული აქტების იერარქიაში იმ აქტის ადგილს, </w:t>
            </w:r>
            <w:r w:rsidRPr="0000393B">
              <w:rPr>
                <w:rFonts w:ascii="Sylfaen" w:hAnsi="Sylfaen"/>
                <w:lang w:val="ka-GE"/>
              </w:rPr>
              <w:lastRenderedPageBreak/>
              <w:t>რომელიც ამ ნორმას შეიცავს</w:t>
            </w:r>
            <w:r w:rsidR="007559B5">
              <w:rPr>
                <w:rFonts w:ascii="Sylfaen" w:hAnsi="Sylfaen"/>
                <w:lang w:val="ka-GE"/>
              </w:rPr>
              <w:t>“.</w:t>
            </w:r>
            <w:r w:rsidR="007559B5">
              <w:rPr>
                <w:rStyle w:val="a8"/>
                <w:rFonts w:ascii="Sylfaen" w:hAnsi="Sylfaen"/>
                <w:lang w:val="ka-GE"/>
              </w:rPr>
              <w:footnoteReference w:id="17"/>
            </w:r>
            <w:r w:rsidRPr="0000393B">
              <w:rPr>
                <w:rFonts w:ascii="Sylfaen" w:hAnsi="Sylfaen"/>
                <w:lang w:val="ka-GE"/>
              </w:rPr>
              <w:t xml:space="preserve"> </w:t>
            </w:r>
            <w:r w:rsidR="007559B5">
              <w:rPr>
                <w:rFonts w:ascii="Sylfaen" w:hAnsi="Sylfaen"/>
                <w:lang w:val="ka-GE"/>
              </w:rPr>
              <w:t xml:space="preserve">ხაზგასმით უნდა აღინიშნოს, რომ </w:t>
            </w:r>
            <w:r>
              <w:rPr>
                <w:rFonts w:ascii="Sylfaen" w:hAnsi="Sylfaen"/>
                <w:lang w:val="ka-GE"/>
              </w:rPr>
              <w:t xml:space="preserve">მოცემულ შემთხვევაში პრობლემურია არა ნორმის იერარქია, არამედ მისი სპეციფიური სახე. </w:t>
            </w:r>
          </w:p>
          <w:p w14:paraId="058FF991" w14:textId="5785D12E" w:rsidR="007F1D75" w:rsidRDefault="007F1D75" w:rsidP="007F1D75">
            <w:pPr>
              <w:ind w:firstLine="709"/>
              <w:jc w:val="both"/>
              <w:rPr>
                <w:rFonts w:ascii="Sylfaen" w:hAnsi="Sylfaen"/>
                <w:lang w:val="ka-GE"/>
              </w:rPr>
            </w:pPr>
            <w:r>
              <w:rPr>
                <w:rFonts w:ascii="Sylfaen" w:hAnsi="Sylfaen"/>
                <w:lang w:val="ka-GE"/>
              </w:rPr>
              <w:t>სადავო ნორმა წარმოადგენს ცვლილებები</w:t>
            </w:r>
            <w:r w:rsidR="00197621">
              <w:rPr>
                <w:rFonts w:ascii="Sylfaen" w:hAnsi="Sylfaen"/>
                <w:lang w:val="ka-GE"/>
              </w:rPr>
              <w:t>ს</w:t>
            </w:r>
            <w:r w:rsidR="007559B5">
              <w:rPr>
                <w:rFonts w:ascii="Sylfaen" w:hAnsi="Sylfaen"/>
                <w:lang w:val="ka-GE"/>
              </w:rPr>
              <w:t xml:space="preserve"> </w:t>
            </w:r>
            <w:r>
              <w:rPr>
                <w:rFonts w:ascii="Sylfaen" w:hAnsi="Sylfaen"/>
                <w:lang w:val="ka-GE"/>
              </w:rPr>
              <w:t xml:space="preserve">შემტან კანონს, ნორმატიული აქტების შესახებ საქართველოს კანონის </w:t>
            </w:r>
            <w:r w:rsidR="007D5B29">
              <w:rPr>
                <w:rFonts w:ascii="Sylfaen" w:hAnsi="Sylfaen"/>
                <w:lang w:val="ka-GE"/>
              </w:rPr>
              <w:t xml:space="preserve">მე-20 მუხლის მე-4 პუნქტის </w:t>
            </w:r>
            <w:r>
              <w:rPr>
                <w:rFonts w:ascii="Sylfaen" w:hAnsi="Sylfaen"/>
                <w:lang w:val="ka-GE"/>
              </w:rPr>
              <w:t>თანახმად „</w:t>
            </w:r>
            <w:r w:rsidRPr="00C725C8">
              <w:rPr>
                <w:rFonts w:ascii="Sylfaen" w:hAnsi="Sylfaen"/>
                <w:lang w:val="ru-RU"/>
              </w:rPr>
              <w:t xml:space="preserve">ნორმატიულ აქტში ცვლილების (ცვლილების (ცვლილებების) ან/და დამატების (დამატებების) ) შეტანა ხდება მხოლოდ იმავე სახის ნორმატიული აქტით. იგი იმ ნორმატიული აქტის განუყოფელი ნაწილია, რომელშიც შეტანილ იქნა </w:t>
            </w:r>
            <w:proofErr w:type="gramStart"/>
            <w:r w:rsidRPr="00C725C8">
              <w:rPr>
                <w:rFonts w:ascii="Sylfaen" w:hAnsi="Sylfaen"/>
                <w:lang w:val="ru-RU"/>
              </w:rPr>
              <w:t>ცვლილება.</w:t>
            </w:r>
            <w:r>
              <w:rPr>
                <w:rFonts w:ascii="Sylfaen" w:hAnsi="Sylfaen"/>
                <w:lang w:val="ka-GE"/>
              </w:rPr>
              <w:t>“</w:t>
            </w:r>
            <w:proofErr w:type="gramEnd"/>
            <w:r w:rsidR="007D5B29">
              <w:rPr>
                <w:rStyle w:val="a8"/>
                <w:rFonts w:ascii="Sylfaen" w:hAnsi="Sylfaen"/>
                <w:lang w:val="ka-GE"/>
              </w:rPr>
              <w:footnoteReference w:id="18"/>
            </w:r>
            <w:r>
              <w:rPr>
                <w:rFonts w:ascii="Sylfaen" w:hAnsi="Sylfaen"/>
                <w:lang w:val="ka-GE"/>
              </w:rPr>
              <w:t xml:space="preserve"> ამდენად, ცვლილებებისა და დამატებების შემტანი კანონის ერთადერთ მიზანს წარმოადგენს ძირითად აქტში ცვლილებებისა და დამატებების შეტანა. სწორედ ამიტომ ხდება  ამოქმედებისთანავე მისი ინკორპორირება კანონის ძირითად ტექსტში</w:t>
            </w:r>
            <w:r w:rsidR="007559B5">
              <w:rPr>
                <w:rFonts w:ascii="Sylfaen" w:hAnsi="Sylfaen"/>
                <w:lang w:val="ka-GE"/>
              </w:rPr>
              <w:t xml:space="preserve"> და ზოგადი სტანდარტით საკონსტიტუციო სასამართლოც სწორედ ამიტომ </w:t>
            </w:r>
            <w:r w:rsidR="00BB71E0">
              <w:rPr>
                <w:rFonts w:ascii="Sylfaen" w:hAnsi="Sylfaen"/>
                <w:lang w:val="ka-GE"/>
              </w:rPr>
              <w:t>გან</w:t>
            </w:r>
            <w:r w:rsidR="007559B5">
              <w:rPr>
                <w:rFonts w:ascii="Sylfaen" w:hAnsi="Sylfaen"/>
                <w:lang w:val="ka-GE"/>
              </w:rPr>
              <w:t>იხილავს ძირითადი კანონის და არა მასში ცვლილებებისა და დამატებების შემტანი კანონის ნორმების კონსტიტუციურობას.</w:t>
            </w:r>
          </w:p>
          <w:p w14:paraId="14F90337" w14:textId="0B2E4CA1" w:rsidR="007559B5" w:rsidRDefault="007F1D75" w:rsidP="007F1D75">
            <w:pPr>
              <w:ind w:firstLine="709"/>
              <w:jc w:val="both"/>
              <w:rPr>
                <w:rFonts w:ascii="Sylfaen" w:hAnsi="Sylfaen"/>
                <w:lang w:val="ka-GE"/>
              </w:rPr>
            </w:pPr>
            <w:r>
              <w:rPr>
                <w:rFonts w:ascii="Sylfaen" w:hAnsi="Sylfaen"/>
                <w:lang w:val="ka-GE"/>
              </w:rPr>
              <w:t>ცხადია</w:t>
            </w:r>
            <w:r w:rsidR="007559B5">
              <w:rPr>
                <w:rFonts w:ascii="Sylfaen" w:hAnsi="Sylfaen"/>
                <w:lang w:val="ka-GE"/>
              </w:rPr>
              <w:t>,</w:t>
            </w:r>
            <w:r w:rsidR="00BB71E0">
              <w:rPr>
                <w:rFonts w:ascii="Sylfaen" w:hAnsi="Sylfaen"/>
                <w:lang w:val="ka-GE"/>
              </w:rPr>
              <w:t xml:space="preserve"> </w:t>
            </w:r>
            <w:r w:rsidR="007559B5">
              <w:rPr>
                <w:rFonts w:ascii="Sylfaen" w:hAnsi="Sylfaen"/>
                <w:lang w:val="ka-GE"/>
              </w:rPr>
              <w:t>კონსტიტუციური სარჩელით სადავოდ ქცეული ნორმ</w:t>
            </w:r>
            <w:r w:rsidR="00BB71E0">
              <w:rPr>
                <w:rFonts w:ascii="Sylfaen" w:hAnsi="Sylfaen"/>
                <w:lang w:val="ka-GE"/>
              </w:rPr>
              <w:t>ის მსგავსად</w:t>
            </w:r>
            <w:r w:rsidR="007559B5">
              <w:rPr>
                <w:rFonts w:ascii="Sylfaen" w:hAnsi="Sylfaen"/>
                <w:lang w:val="ka-GE"/>
              </w:rPr>
              <w:t>,</w:t>
            </w:r>
            <w:r>
              <w:rPr>
                <w:rFonts w:ascii="Sylfaen" w:hAnsi="Sylfaen"/>
                <w:lang w:val="ka-GE"/>
              </w:rPr>
              <w:t xml:space="preserve"> ცვლილებებისა და დამატებების</w:t>
            </w:r>
            <w:r w:rsidR="007559B5">
              <w:rPr>
                <w:rFonts w:ascii="Sylfaen" w:hAnsi="Sylfaen"/>
                <w:lang w:val="ka-GE"/>
              </w:rPr>
              <w:t xml:space="preserve"> შემტანი</w:t>
            </w:r>
            <w:r>
              <w:rPr>
                <w:rFonts w:ascii="Sylfaen" w:hAnsi="Sylfaen"/>
                <w:lang w:val="ka-GE"/>
              </w:rPr>
              <w:t xml:space="preserve"> კანონი შესაძლოა შეიცავდეს ისეთ დებულებებს რომელთა ინკორპორირებაც არ ხდება ძირითად აქტში, თუმცა</w:t>
            </w:r>
            <w:r w:rsidR="00BB71E0">
              <w:rPr>
                <w:rFonts w:ascii="Sylfaen" w:hAnsi="Sylfaen"/>
                <w:lang w:val="ka-GE"/>
              </w:rPr>
              <w:t xml:space="preserve"> ცვლილებებისა ან/და დამატებების შემტანი კანონების საკმაოდ დიდი მოცულობის შესწავლით დასტურდება, რომ</w:t>
            </w:r>
            <w:r>
              <w:rPr>
                <w:rFonts w:ascii="Sylfaen" w:hAnsi="Sylfaen"/>
                <w:lang w:val="ka-GE"/>
              </w:rPr>
              <w:t xml:space="preserve"> ასეთი დებულებები შინაარსობრივი თვალსაზრისით როგორც წესი წარმოადგენს გარდამავალ და დასკვნით დებულებებს. </w:t>
            </w:r>
          </w:p>
          <w:p w14:paraId="193D220D" w14:textId="0648AE10" w:rsidR="007559B5" w:rsidRDefault="007F1D75" w:rsidP="007F1D75">
            <w:pPr>
              <w:ind w:firstLine="709"/>
              <w:jc w:val="both"/>
              <w:rPr>
                <w:rFonts w:ascii="Sylfaen" w:hAnsi="Sylfaen"/>
                <w:lang w:val="ka-GE"/>
              </w:rPr>
            </w:pPr>
            <w:r>
              <w:rPr>
                <w:rFonts w:ascii="Sylfaen" w:hAnsi="Sylfaen"/>
                <w:lang w:val="ka-GE"/>
              </w:rPr>
              <w:t>ნორმატიული აქტების შესახებ საქართველოს კანონის თანახმად გარდამავალი დებულებებით დგინდება გაკრვეული ვადით ძირითადისგან განსხვავებული ნორმები ან თუ ამ ნორმატიული აქტის ასამოქმედებლად გარკვეული პირობები და დროა საჭრო.</w:t>
            </w:r>
            <w:r w:rsidR="007D5B29">
              <w:rPr>
                <w:rStyle w:val="a8"/>
                <w:rFonts w:ascii="Sylfaen" w:hAnsi="Sylfaen"/>
                <w:lang w:val="ka-GE"/>
              </w:rPr>
              <w:footnoteReference w:id="19"/>
            </w:r>
            <w:r>
              <w:rPr>
                <w:rFonts w:ascii="Sylfaen" w:hAnsi="Sylfaen"/>
                <w:lang w:val="ka-GE"/>
              </w:rPr>
              <w:t xml:space="preserve"> ხოლო დასკვნითი დებულებები შეიცავს იმ ნორმატიული აქტების ჩამონათვალს, რომლებიც ძალას კარგავს ამ ნორმატიული აქტის ამოქმედების მომენტიდან, აქტის ძალაში შესვლის დროს და მისი მოქმდების ვადას (თუ იგი განსაზღვრული ვადით არის გამოცემული).</w:t>
            </w:r>
            <w:r w:rsidR="007D5B29">
              <w:rPr>
                <w:rStyle w:val="a8"/>
                <w:rFonts w:ascii="Sylfaen" w:hAnsi="Sylfaen"/>
                <w:lang w:val="ka-GE"/>
              </w:rPr>
              <w:footnoteReference w:id="20"/>
            </w:r>
            <w:r>
              <w:rPr>
                <w:rFonts w:ascii="Sylfaen" w:hAnsi="Sylfaen"/>
                <w:lang w:val="ka-GE"/>
              </w:rPr>
              <w:t xml:space="preserve"> </w:t>
            </w:r>
          </w:p>
          <w:p w14:paraId="012473BA" w14:textId="19A02D7C" w:rsidR="007F1D75" w:rsidRDefault="007F1D75" w:rsidP="007F1D75">
            <w:pPr>
              <w:ind w:firstLine="709"/>
              <w:jc w:val="both"/>
              <w:rPr>
                <w:rFonts w:ascii="Sylfaen" w:hAnsi="Sylfaen"/>
                <w:lang w:val="ka-GE"/>
              </w:rPr>
            </w:pPr>
            <w:r>
              <w:rPr>
                <w:rFonts w:ascii="Sylfaen" w:hAnsi="Sylfaen"/>
                <w:lang w:val="ka-GE"/>
              </w:rPr>
              <w:t xml:space="preserve">აღნიშნულის საწინააღმდეგოდ, </w:t>
            </w:r>
            <w:r w:rsidR="002C0612">
              <w:rPr>
                <w:rFonts w:ascii="Sylfaen" w:hAnsi="Sylfaen"/>
                <w:lang w:val="ka-GE"/>
              </w:rPr>
              <w:t xml:space="preserve">მოცემულ კონსტიტუციურ სარჩელში </w:t>
            </w:r>
            <w:r>
              <w:rPr>
                <w:rFonts w:ascii="Sylfaen" w:hAnsi="Sylfaen"/>
                <w:lang w:val="ka-GE"/>
              </w:rPr>
              <w:t>სადავო</w:t>
            </w:r>
            <w:r w:rsidR="002C0612">
              <w:rPr>
                <w:rFonts w:ascii="Sylfaen" w:hAnsi="Sylfaen"/>
                <w:lang w:val="ka-GE"/>
              </w:rPr>
              <w:t>დ ქცეული</w:t>
            </w:r>
            <w:r>
              <w:rPr>
                <w:rFonts w:ascii="Sylfaen" w:hAnsi="Sylfaen"/>
                <w:lang w:val="ka-GE"/>
              </w:rPr>
              <w:t xml:space="preserve"> ნორმით</w:t>
            </w:r>
            <w:r w:rsidR="002C0612">
              <w:rPr>
                <w:rFonts w:ascii="Sylfaen" w:hAnsi="Sylfaen"/>
                <w:lang w:val="ka-GE"/>
              </w:rPr>
              <w:t xml:space="preserve">, რომლის ასახვა (ინკორპორირება) </w:t>
            </w:r>
            <w:r>
              <w:rPr>
                <w:rFonts w:ascii="Sylfaen" w:hAnsi="Sylfaen"/>
                <w:lang w:val="ka-GE"/>
              </w:rPr>
              <w:t xml:space="preserve">არ მომხდარა </w:t>
            </w:r>
            <w:r w:rsidR="002C0612">
              <w:rPr>
                <w:rFonts w:ascii="Sylfaen" w:hAnsi="Sylfaen"/>
                <w:lang w:val="ka-GE"/>
              </w:rPr>
              <w:t xml:space="preserve">ძირითად აქტში, განისაზღვრა არა </w:t>
            </w:r>
            <w:r>
              <w:rPr>
                <w:rFonts w:ascii="Sylfaen" w:hAnsi="Sylfaen"/>
                <w:lang w:val="ka-GE"/>
              </w:rPr>
              <w:t>უშუალოდ</w:t>
            </w:r>
            <w:r w:rsidR="002C0612">
              <w:rPr>
                <w:rFonts w:ascii="Sylfaen" w:hAnsi="Sylfaen"/>
                <w:lang w:val="ka-GE"/>
              </w:rPr>
              <w:t xml:space="preserve"> ცვლილების შემტანი</w:t>
            </w:r>
            <w:r>
              <w:rPr>
                <w:rFonts w:ascii="Sylfaen" w:hAnsi="Sylfaen"/>
                <w:lang w:val="ka-GE"/>
              </w:rPr>
              <w:t xml:space="preserve"> კანონის ამოქმედებასთან</w:t>
            </w:r>
            <w:r w:rsidR="00C25784">
              <w:rPr>
                <w:rFonts w:ascii="Sylfaen" w:hAnsi="Sylfaen"/>
                <w:lang w:val="ka-GE"/>
              </w:rPr>
              <w:t xml:space="preserve"> </w:t>
            </w:r>
            <w:r>
              <w:rPr>
                <w:rFonts w:ascii="Sylfaen" w:hAnsi="Sylfaen"/>
                <w:lang w:val="ka-GE"/>
              </w:rPr>
              <w:t>დაკავშირებული საკითხები</w:t>
            </w:r>
            <w:r w:rsidR="002C0612">
              <w:rPr>
                <w:rFonts w:ascii="Sylfaen" w:hAnsi="Sylfaen"/>
                <w:lang w:val="ka-GE"/>
              </w:rPr>
              <w:t xml:space="preserve"> / წინაპირობები</w:t>
            </w:r>
            <w:r>
              <w:rPr>
                <w:rFonts w:ascii="Sylfaen" w:hAnsi="Sylfaen"/>
                <w:lang w:val="ka-GE"/>
              </w:rPr>
              <w:t>,</w:t>
            </w:r>
            <w:r w:rsidR="00237889">
              <w:rPr>
                <w:rFonts w:ascii="Sylfaen" w:hAnsi="Sylfaen"/>
                <w:lang w:val="ka-GE"/>
              </w:rPr>
              <w:t xml:space="preserve"> ან მისი ამოქმედებისათვის საჭირო ღონისძიებები,</w:t>
            </w:r>
            <w:r>
              <w:rPr>
                <w:rFonts w:ascii="Sylfaen" w:hAnsi="Sylfaen"/>
                <w:lang w:val="ka-GE"/>
              </w:rPr>
              <w:t xml:space="preserve"> არამედ </w:t>
            </w:r>
            <w:r w:rsidR="00197621">
              <w:rPr>
                <w:rFonts w:ascii="Sylfaen" w:hAnsi="Sylfaen"/>
                <w:lang w:val="ka-GE"/>
              </w:rPr>
              <w:t>მოხდა კონკრეტული ვადის გასვლის შემდეგ</w:t>
            </w:r>
            <w:r>
              <w:rPr>
                <w:rFonts w:ascii="Sylfaen" w:hAnsi="Sylfaen"/>
                <w:lang w:val="ka-GE"/>
              </w:rPr>
              <w:t xml:space="preserve"> ძირითადი აქტით გარანტირებული </w:t>
            </w:r>
            <w:r w:rsidR="002C0612">
              <w:rPr>
                <w:rFonts w:ascii="Sylfaen" w:hAnsi="Sylfaen"/>
                <w:lang w:val="ka-GE"/>
              </w:rPr>
              <w:t xml:space="preserve">ერთ-ერთი უმნიშვნელოვანესი </w:t>
            </w:r>
            <w:r>
              <w:rPr>
                <w:rFonts w:ascii="Sylfaen" w:hAnsi="Sylfaen"/>
                <w:lang w:val="ka-GE"/>
              </w:rPr>
              <w:t>უფლების</w:t>
            </w:r>
            <w:r w:rsidR="00197621">
              <w:rPr>
                <w:rFonts w:ascii="Sylfaen" w:hAnsi="Sylfaen"/>
                <w:lang w:val="ka-GE"/>
              </w:rPr>
              <w:t xml:space="preserve"> </w:t>
            </w:r>
            <w:r w:rsidR="002C0612">
              <w:rPr>
                <w:rFonts w:ascii="Sylfaen" w:hAnsi="Sylfaen"/>
                <w:lang w:val="ka-GE"/>
              </w:rPr>
              <w:t xml:space="preserve">სრულად </w:t>
            </w:r>
            <w:r w:rsidR="00197621">
              <w:rPr>
                <w:rFonts w:ascii="Sylfaen" w:hAnsi="Sylfaen"/>
                <w:lang w:val="ka-GE"/>
              </w:rPr>
              <w:t>ჩამორთმევა.</w:t>
            </w:r>
            <w:r>
              <w:rPr>
                <w:rFonts w:ascii="Sylfaen" w:hAnsi="Sylfaen"/>
                <w:lang w:val="ka-GE"/>
              </w:rPr>
              <w:t xml:space="preserve"> სრულიად არაგონივრულია </w:t>
            </w:r>
            <w:r w:rsidR="0092147C">
              <w:rPr>
                <w:rFonts w:ascii="Sylfaen" w:hAnsi="Sylfaen"/>
                <w:lang w:val="ka-GE"/>
              </w:rPr>
              <w:t xml:space="preserve">ცვლილებებისა და დამატებების შემტანი კანონის გარდამავალ დებულებებში ისეთი ტიპის მზღუდავი ჩანაწერის ძებნა რომელიც არ უკავშირდება </w:t>
            </w:r>
            <w:r>
              <w:rPr>
                <w:rFonts w:ascii="Sylfaen" w:hAnsi="Sylfaen"/>
                <w:lang w:val="ka-GE"/>
              </w:rPr>
              <w:t>ცვლილებებისა და დამატებების შემტანი კანონის მოქმედების ფარგლებ</w:t>
            </w:r>
            <w:r w:rsidR="0092147C">
              <w:rPr>
                <w:rFonts w:ascii="Sylfaen" w:hAnsi="Sylfaen"/>
                <w:lang w:val="ka-GE"/>
              </w:rPr>
              <w:t>სა და წინაპირობებს</w:t>
            </w:r>
            <w:r w:rsidR="00237889">
              <w:rPr>
                <w:rFonts w:ascii="Sylfaen" w:hAnsi="Sylfaen"/>
                <w:lang w:val="ka-GE"/>
              </w:rPr>
              <w:t xml:space="preserve">, </w:t>
            </w:r>
            <w:r w:rsidR="00C25784">
              <w:rPr>
                <w:rFonts w:ascii="Sylfaen" w:hAnsi="Sylfaen"/>
                <w:lang w:val="ka-GE"/>
              </w:rPr>
              <w:t xml:space="preserve"> და ამის ნაცვლად ადგენს ძირითადი კანონით გათვალისწინებული </w:t>
            </w:r>
            <w:r w:rsidR="007559B5">
              <w:rPr>
                <w:rFonts w:ascii="Sylfaen" w:hAnsi="Sylfaen"/>
                <w:lang w:val="ka-GE"/>
              </w:rPr>
              <w:t xml:space="preserve">ერთ-ერთი მთავარი </w:t>
            </w:r>
            <w:r w:rsidR="00D80614">
              <w:rPr>
                <w:rFonts w:ascii="Sylfaen" w:hAnsi="Sylfaen"/>
                <w:lang w:val="ka-GE"/>
              </w:rPr>
              <w:t>უფლების გაუქმების</w:t>
            </w:r>
            <w:r w:rsidR="00C25784">
              <w:rPr>
                <w:rFonts w:ascii="Sylfaen" w:hAnsi="Sylfaen"/>
                <w:lang w:val="ka-GE"/>
              </w:rPr>
              <w:t xml:space="preserve"> თარიღს.</w:t>
            </w:r>
          </w:p>
          <w:p w14:paraId="5FCD5E98" w14:textId="6B7EC326" w:rsidR="00A863AC" w:rsidRDefault="007F1D75" w:rsidP="007F1D75">
            <w:pPr>
              <w:ind w:firstLine="709"/>
              <w:jc w:val="both"/>
              <w:rPr>
                <w:rFonts w:ascii="Sylfaen" w:hAnsi="Sylfaen"/>
                <w:lang w:val="ka-GE"/>
              </w:rPr>
            </w:pPr>
            <w:r>
              <w:rPr>
                <w:rFonts w:ascii="Sylfaen" w:hAnsi="Sylfaen"/>
                <w:lang w:val="ka-GE"/>
              </w:rPr>
              <w:t>საქართველოს საკონსტიტუციო სასამართლომ 2023 წლის 15 დეკემბრის გადაწყვეტილებაში გააკეთა შემდეგი განმარტება: „</w:t>
            </w:r>
            <w:r w:rsidRPr="0000393B">
              <w:rPr>
                <w:rFonts w:ascii="Sylfaen" w:hAnsi="Sylfaen"/>
                <w:lang w:val="ka-GE"/>
              </w:rPr>
              <w:t>ხელმისაწვდომობა გულისხმობს, პირის დაინტერესების შემთხვევაში, რამდენად გააჩნია მას ობიექტურად საკმარისი შესაძლებლობა, რომ გონივრული რესურსის დახარჯვის შედეგად მოიპოვოს და გაეცნოს ნორმატიულ აქტს</w:t>
            </w:r>
            <w:r w:rsidRPr="00180E3A">
              <w:rPr>
                <w:rFonts w:ascii="Sylfaen" w:hAnsi="Sylfaen"/>
                <w:lang w:val="ka-GE"/>
              </w:rPr>
              <w:t>”.</w:t>
            </w:r>
            <w:r w:rsidR="00A863AC">
              <w:rPr>
                <w:rStyle w:val="a8"/>
                <w:rFonts w:ascii="Sylfaen" w:hAnsi="Sylfaen"/>
                <w:lang w:val="ka-GE"/>
              </w:rPr>
              <w:footnoteReference w:id="21"/>
            </w:r>
            <w:r w:rsidRPr="00180E3A">
              <w:rPr>
                <w:rFonts w:ascii="Sylfaen" w:hAnsi="Sylfaen"/>
                <w:lang w:val="ka-GE"/>
              </w:rPr>
              <w:t xml:space="preserve">  </w:t>
            </w:r>
          </w:p>
          <w:p w14:paraId="6E784D75" w14:textId="23551E3D" w:rsidR="007F1D75" w:rsidRDefault="007F1D75" w:rsidP="007F1D75">
            <w:pPr>
              <w:ind w:firstLine="709"/>
              <w:jc w:val="both"/>
              <w:rPr>
                <w:rFonts w:ascii="Sylfaen" w:hAnsi="Sylfaen"/>
                <w:lang w:val="ka-GE"/>
              </w:rPr>
            </w:pPr>
            <w:r>
              <w:rPr>
                <w:rFonts w:ascii="Sylfaen" w:hAnsi="Sylfaen"/>
                <w:lang w:val="ka-GE"/>
              </w:rPr>
              <w:t>იმის გათვალისწინებით, რომ არაერთ სამართლებრივ აქტში ცვლილებების და დამატებების შეტანა მუდმივ</w:t>
            </w:r>
            <w:r w:rsidR="00197621">
              <w:rPr>
                <w:rFonts w:ascii="Sylfaen" w:hAnsi="Sylfaen"/>
                <w:lang w:val="ka-GE"/>
              </w:rPr>
              <w:t xml:space="preserve"> და საკმაოდ ხშირ</w:t>
            </w:r>
            <w:r>
              <w:rPr>
                <w:rFonts w:ascii="Sylfaen" w:hAnsi="Sylfaen"/>
                <w:lang w:val="ka-GE"/>
              </w:rPr>
              <w:t xml:space="preserve"> პროცესს წარმოადგენს, სადავო ნორმით დაფიქსირებული მიდგომის ნორმალიზება შეუძლებელს გახდის სამართლებრივ ნორმებთან მუშაობას და გონივრული რესურსის </w:t>
            </w:r>
            <w:r>
              <w:rPr>
                <w:rFonts w:ascii="Sylfaen" w:hAnsi="Sylfaen"/>
                <w:lang w:val="ka-GE"/>
              </w:rPr>
              <w:lastRenderedPageBreak/>
              <w:t>დახრჯვით პირის უფლებრივი მდგომარეობის შესახებ სწორი ინფორმაციის მოპოვებას</w:t>
            </w:r>
            <w:r w:rsidR="00197621">
              <w:rPr>
                <w:rFonts w:ascii="Sylfaen" w:hAnsi="Sylfaen"/>
                <w:lang w:val="ka-GE"/>
              </w:rPr>
              <w:t xml:space="preserve">, რადგან მუდუმივად იარსებებს რისკი, რომ შესაძლებელია ძირითადი კანონით დადგენილი უფლების </w:t>
            </w:r>
            <w:r w:rsidR="007D5B29">
              <w:rPr>
                <w:rFonts w:ascii="Sylfaen" w:hAnsi="Sylfaen"/>
                <w:lang w:val="ka-GE"/>
              </w:rPr>
              <w:t xml:space="preserve">შეუქცევადად </w:t>
            </w:r>
            <w:r w:rsidR="00197621">
              <w:rPr>
                <w:rFonts w:ascii="Sylfaen" w:hAnsi="Sylfaen"/>
                <w:lang w:val="ka-GE"/>
              </w:rPr>
              <w:t>შე</w:t>
            </w:r>
            <w:r w:rsidR="00237889">
              <w:rPr>
                <w:rFonts w:ascii="Sylfaen" w:hAnsi="Sylfaen"/>
                <w:lang w:val="ka-GE"/>
              </w:rPr>
              <w:t>მ</w:t>
            </w:r>
            <w:r w:rsidR="00197621">
              <w:rPr>
                <w:rFonts w:ascii="Sylfaen" w:hAnsi="Sylfaen"/>
                <w:lang w:val="ka-GE"/>
              </w:rPr>
              <w:t>ზღუდველი ნორმა „ჩამალული“ იყოს ცვლილებებისა და დამატებების შემტან კანონში.</w:t>
            </w:r>
            <w:r>
              <w:rPr>
                <w:rFonts w:ascii="Sylfaen" w:hAnsi="Sylfaen"/>
                <w:lang w:val="ka-GE"/>
              </w:rPr>
              <w:t xml:space="preserve"> ასეთი მიდგომის</w:t>
            </w:r>
            <w:r w:rsidR="00197621">
              <w:rPr>
                <w:rFonts w:ascii="Sylfaen" w:hAnsi="Sylfaen"/>
                <w:lang w:val="ka-GE"/>
              </w:rPr>
              <w:t xml:space="preserve"> კონსტიტუციურად აღიარება</w:t>
            </w:r>
            <w:r>
              <w:rPr>
                <w:rFonts w:ascii="Sylfaen" w:hAnsi="Sylfaen"/>
                <w:lang w:val="ka-GE"/>
              </w:rPr>
              <w:t xml:space="preserve"> წინააღმდეგობაში მოვა როგორც </w:t>
            </w:r>
            <w:r w:rsidR="00197621">
              <w:rPr>
                <w:rFonts w:ascii="Sylfaen" w:hAnsi="Sylfaen"/>
                <w:lang w:val="ka-GE"/>
              </w:rPr>
              <w:t xml:space="preserve">განჭვრეტადობისა და </w:t>
            </w:r>
            <w:r>
              <w:rPr>
                <w:rFonts w:ascii="Sylfaen" w:hAnsi="Sylfaen"/>
                <w:lang w:val="ka-GE"/>
              </w:rPr>
              <w:t>ხელმსაწვდომობის</w:t>
            </w:r>
            <w:r w:rsidR="00197621">
              <w:rPr>
                <w:rFonts w:ascii="Sylfaen" w:hAnsi="Sylfaen"/>
                <w:lang w:val="ka-GE"/>
              </w:rPr>
              <w:t>, ასევე სამართლებრივი ნდობის</w:t>
            </w:r>
            <w:r>
              <w:rPr>
                <w:rFonts w:ascii="Sylfaen" w:hAnsi="Sylfaen"/>
                <w:lang w:val="ka-GE"/>
              </w:rPr>
              <w:t xml:space="preserve"> </w:t>
            </w:r>
            <w:r w:rsidR="00197621">
              <w:rPr>
                <w:rFonts w:ascii="Sylfaen" w:hAnsi="Sylfaen"/>
                <w:lang w:val="ka-GE"/>
              </w:rPr>
              <w:t>პრინციპთან, რადგან აღარ იარსებებს ნდობა იმასთან დაკავშირებით რომ საკანონმდებლო აქტის კოდიფიცირებული ვერსიის შესწავლით პირი მიიღებს სრულყოფილ ინფორმაციას მისი უფლებრივი მდგომარეობის შესახებ. ა</w:t>
            </w:r>
            <w:r>
              <w:rPr>
                <w:rFonts w:ascii="Sylfaen" w:hAnsi="Sylfaen"/>
                <w:lang w:val="ka-GE"/>
              </w:rPr>
              <w:t>მდენად</w:t>
            </w:r>
            <w:r w:rsidR="007D5B29">
              <w:rPr>
                <w:rFonts w:ascii="Sylfaen" w:hAnsi="Sylfaen"/>
                <w:lang w:val="ka-GE"/>
              </w:rPr>
              <w:t>,</w:t>
            </w:r>
            <w:r>
              <w:rPr>
                <w:rFonts w:ascii="Sylfaen" w:hAnsi="Sylfaen"/>
                <w:lang w:val="ka-GE"/>
              </w:rPr>
              <w:t xml:space="preserve"> მოცემული კონსტიტუციური სარჩელით ვითხოვთ სადავო ნორმის არაკონსტიტუციურად ცნობას როგორც მისი შინაარსის არაკონსტიტუციურობის გამო, ასევე იმ საფუძვლით რომ ის არღვევს კანონის განჭვრეტადობის</w:t>
            </w:r>
            <w:r w:rsidR="002C0612">
              <w:rPr>
                <w:rFonts w:ascii="Sylfaen" w:hAnsi="Sylfaen"/>
                <w:lang w:val="ka-GE"/>
              </w:rPr>
              <w:t xml:space="preserve">, </w:t>
            </w:r>
            <w:r>
              <w:rPr>
                <w:rFonts w:ascii="Sylfaen" w:hAnsi="Sylfaen"/>
                <w:lang w:val="ka-GE"/>
              </w:rPr>
              <w:t>ხელმისაწვდომობის</w:t>
            </w:r>
            <w:r w:rsidR="002C0612">
              <w:rPr>
                <w:rFonts w:ascii="Sylfaen" w:hAnsi="Sylfaen"/>
                <w:lang w:val="ka-GE"/>
              </w:rPr>
              <w:t>ა და სამართლებრივი ნდობის</w:t>
            </w:r>
            <w:r>
              <w:rPr>
                <w:rFonts w:ascii="Sylfaen" w:hAnsi="Sylfaen"/>
                <w:lang w:val="ka-GE"/>
              </w:rPr>
              <w:t xml:space="preserve"> პრინციპს</w:t>
            </w:r>
            <w:r w:rsidR="00237889">
              <w:rPr>
                <w:rFonts w:ascii="Sylfaen" w:hAnsi="Sylfaen"/>
                <w:lang w:val="ka-GE"/>
              </w:rPr>
              <w:t>,</w:t>
            </w:r>
            <w:r w:rsidR="002C0612">
              <w:rPr>
                <w:rFonts w:ascii="Sylfaen" w:hAnsi="Sylfaen"/>
                <w:lang w:val="ka-GE"/>
              </w:rPr>
              <w:t xml:space="preserve"> რომლებიც საქართველოს კონსტიტუციით აღიარებული სამართლებრივი სახელმწიფოს უმთავრეს ელემენტებად გვევლინება.</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8DE657F" w:rsidR="008D5E38" w:rsidRDefault="007F1D75"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3E75318" w:rsidR="008D5E38" w:rsidRDefault="007F1D75"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14009B2" w:rsidR="00525704" w:rsidRDefault="007F1D75"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E9417EF" w:rsidR="00525704" w:rsidRDefault="007F1D75"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8EEFA37" w:rsidR="00384803" w:rsidRPr="00B93430" w:rsidRDefault="008F4E86"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0"/>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0"/>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40F1A0D" w14:textId="1336AE95" w:rsidR="00AB7617" w:rsidRDefault="00222C19" w:rsidP="007D34F4">
            <w:pPr>
              <w:pStyle w:val="a5"/>
              <w:numPr>
                <w:ilvl w:val="0"/>
                <w:numId w:val="30"/>
              </w:numPr>
              <w:ind w:left="337"/>
              <w:rPr>
                <w:rFonts w:ascii="Sylfaen" w:hAnsi="Sylfaen" w:cs="Sylfaen"/>
                <w:lang w:val="ka-GE"/>
              </w:rPr>
            </w:pPr>
            <w:permStart w:id="1946123131" w:edGrp="everyone"/>
            <w:r>
              <w:rPr>
                <w:rFonts w:ascii="Sylfaen" w:hAnsi="Sylfaen" w:cs="Sylfaen"/>
                <w:b/>
                <w:bCs/>
                <w:lang w:val="ka-GE"/>
              </w:rPr>
              <w:t xml:space="preserve">დანართი N1 - </w:t>
            </w:r>
            <w:r w:rsidR="00AB7617">
              <w:rPr>
                <w:rFonts w:ascii="Sylfaen" w:hAnsi="Sylfaen" w:cs="Sylfaen"/>
                <w:lang w:val="ka-GE"/>
              </w:rPr>
              <w:t>საქართველოს სსრ სახელით, საქართველოს სსრ უზენაესი სასამართლოს სისხლის სამართლის საქმეთა სასამართლო კოლეგიის განჩინება N358; 4/VIII/60წ. (რუსულენოვანი დოკუმენტი ნოტარიული თარგმანით) სულ - 5 ფურცელი</w:t>
            </w:r>
          </w:p>
          <w:p w14:paraId="41355A6F" w14:textId="2FE3AD32" w:rsidR="000341DF" w:rsidRDefault="00222C19" w:rsidP="007D34F4">
            <w:pPr>
              <w:pStyle w:val="a5"/>
              <w:numPr>
                <w:ilvl w:val="0"/>
                <w:numId w:val="30"/>
              </w:numPr>
              <w:ind w:left="337"/>
              <w:rPr>
                <w:rFonts w:ascii="Sylfaen" w:hAnsi="Sylfaen" w:cs="Sylfaen"/>
                <w:lang w:val="ka-GE"/>
              </w:rPr>
            </w:pPr>
            <w:r>
              <w:rPr>
                <w:rFonts w:ascii="Sylfaen" w:hAnsi="Sylfaen" w:cs="Sylfaen"/>
                <w:b/>
                <w:bCs/>
                <w:lang w:val="ka-GE"/>
              </w:rPr>
              <w:t xml:space="preserve">დანართი N2 - </w:t>
            </w:r>
            <w:r w:rsidR="000341DF">
              <w:rPr>
                <w:rFonts w:ascii="Sylfaen" w:hAnsi="Sylfaen" w:cs="Sylfaen"/>
                <w:lang w:val="ka-GE"/>
              </w:rPr>
              <w:t>საქართველოს სსრ უმაღლესი სასამართლო, ცნობა (რუსულენოვანი ცნობა და ცნობის ნოტარიულად დამოწმებული თარგმანი) ნიკოლოზ სოფრომაძის მიმართ საქმის წარმოების შეწყვეტისა და რეაბილიტირების შესახებ; სულ - 3 ფურცელი</w:t>
            </w:r>
          </w:p>
          <w:p w14:paraId="096EDC64" w14:textId="7399C374" w:rsidR="006645DE" w:rsidRDefault="00222C19" w:rsidP="007D34F4">
            <w:pPr>
              <w:pStyle w:val="a5"/>
              <w:numPr>
                <w:ilvl w:val="0"/>
                <w:numId w:val="30"/>
              </w:numPr>
              <w:ind w:left="337"/>
              <w:rPr>
                <w:rFonts w:ascii="Sylfaen" w:hAnsi="Sylfaen" w:cs="Sylfaen"/>
                <w:lang w:val="ka-GE"/>
              </w:rPr>
            </w:pPr>
            <w:r>
              <w:rPr>
                <w:rFonts w:ascii="Sylfaen" w:hAnsi="Sylfaen" w:cs="Sylfaen"/>
                <w:b/>
                <w:bCs/>
                <w:lang w:val="ka-GE"/>
              </w:rPr>
              <w:t xml:space="preserve">დანართი N3 - </w:t>
            </w:r>
            <w:r w:rsidR="006645DE">
              <w:rPr>
                <w:rFonts w:ascii="Sylfaen" w:hAnsi="Sylfaen" w:cs="Sylfaen"/>
                <w:lang w:val="ka-GE"/>
              </w:rPr>
              <w:t>სამკვიდრო მოწმობა, რეგისტრაციის ნომერი 150965603; რეგისტრაციის თარიღი 04.09.2015</w:t>
            </w:r>
          </w:p>
          <w:p w14:paraId="2CADCC1D" w14:textId="1D181340" w:rsidR="00CD6807" w:rsidRDefault="00222C19" w:rsidP="007D34F4">
            <w:pPr>
              <w:pStyle w:val="a5"/>
              <w:numPr>
                <w:ilvl w:val="0"/>
                <w:numId w:val="30"/>
              </w:numPr>
              <w:ind w:left="337"/>
              <w:rPr>
                <w:rFonts w:ascii="Sylfaen" w:hAnsi="Sylfaen" w:cs="Sylfaen"/>
                <w:lang w:val="ka-GE"/>
              </w:rPr>
            </w:pPr>
            <w:r>
              <w:rPr>
                <w:rFonts w:ascii="Sylfaen" w:hAnsi="Sylfaen" w:cs="Sylfaen"/>
                <w:b/>
                <w:bCs/>
                <w:lang w:val="ka-GE"/>
              </w:rPr>
              <w:t xml:space="preserve">დანართი N4 - </w:t>
            </w:r>
            <w:r w:rsidR="00CD6807">
              <w:rPr>
                <w:rFonts w:ascii="Sylfaen" w:hAnsi="Sylfaen" w:cs="Sylfaen"/>
                <w:lang w:val="ka-GE"/>
              </w:rPr>
              <w:t xml:space="preserve">თბილისის საქალაქო სასამართლოს ადმინისტრაციულ საქმეთა კოლეგიის 2016 წლის 16 აგვისტოს განჩინება სარჩელის წარმოებაში მიღებაზე უარის თქმის შესახებ, </w:t>
            </w:r>
            <w:r w:rsidR="000341DF">
              <w:rPr>
                <w:rFonts w:ascii="Sylfaen" w:hAnsi="Sylfaen" w:cs="Sylfaen"/>
                <w:lang w:val="ka-GE"/>
              </w:rPr>
              <w:t xml:space="preserve">საქმე N3/5982-16; სულ - </w:t>
            </w:r>
            <w:r w:rsidR="00237889">
              <w:rPr>
                <w:rFonts w:ascii="Sylfaen" w:hAnsi="Sylfaen" w:cs="Sylfaen"/>
                <w:lang w:val="ka-GE"/>
              </w:rPr>
              <w:t>3</w:t>
            </w:r>
            <w:r w:rsidR="000341DF">
              <w:rPr>
                <w:rFonts w:ascii="Sylfaen" w:hAnsi="Sylfaen" w:cs="Sylfaen"/>
                <w:lang w:val="ka-GE"/>
              </w:rPr>
              <w:t xml:space="preserve"> ფურცელი</w:t>
            </w:r>
          </w:p>
          <w:p w14:paraId="2C62B798" w14:textId="28771895" w:rsidR="001C7E3E" w:rsidRDefault="00222C19" w:rsidP="007D34F4">
            <w:pPr>
              <w:pStyle w:val="a5"/>
              <w:numPr>
                <w:ilvl w:val="0"/>
                <w:numId w:val="30"/>
              </w:numPr>
              <w:ind w:left="337"/>
              <w:rPr>
                <w:rFonts w:ascii="Sylfaen" w:hAnsi="Sylfaen" w:cs="Sylfaen"/>
                <w:lang w:val="ka-GE"/>
              </w:rPr>
            </w:pPr>
            <w:r>
              <w:rPr>
                <w:rFonts w:ascii="Sylfaen" w:hAnsi="Sylfaen" w:cs="Sylfaen"/>
                <w:b/>
                <w:bCs/>
                <w:lang w:val="ka-GE"/>
              </w:rPr>
              <w:t xml:space="preserve">დანართი N5 - </w:t>
            </w:r>
            <w:r w:rsidR="002C0612">
              <w:rPr>
                <w:rFonts w:ascii="Sylfaen" w:hAnsi="Sylfaen" w:cs="Sylfaen"/>
                <w:lang w:val="ka-GE"/>
              </w:rPr>
              <w:t>თბილისის სააპელაციო სასამართლოს ადმინისტრაციულ საქმეთა პალატის 2016 წლის 25 ნოემბრის განჩინება, საქმე N330315216001467012; საქმე N</w:t>
            </w:r>
            <w:r w:rsidR="00CD6807">
              <w:rPr>
                <w:rFonts w:ascii="Sylfaen" w:hAnsi="Sylfaen" w:cs="Sylfaen"/>
                <w:lang w:val="ka-GE"/>
              </w:rPr>
              <w:t>3ბ/1767-16</w:t>
            </w:r>
            <w:r w:rsidR="000341DF">
              <w:rPr>
                <w:rFonts w:ascii="Sylfaen" w:hAnsi="Sylfaen" w:cs="Sylfaen"/>
                <w:lang w:val="ka-GE"/>
              </w:rPr>
              <w:t>; სულ -6 ფურცელი</w:t>
            </w:r>
          </w:p>
          <w:permEnd w:id="1946123131"/>
          <w:p w14:paraId="067F2FF5" w14:textId="3C0330DC"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6839DAA" w:rsidR="00960B6D" w:rsidRPr="007D34F4" w:rsidRDefault="0023788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ნატო ქავთარაძე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BD45724" w:rsidR="00960B6D" w:rsidRPr="007D34F4" w:rsidRDefault="00B034B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13.07.2024</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64D910D8" w:rsidR="00960B6D" w:rsidRPr="007D34F4" w:rsidRDefault="00B034BF"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ნ. ქავთარაძე</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78E70" w14:textId="77777777" w:rsidR="004A031E" w:rsidRDefault="004A031E" w:rsidP="008E78F7">
      <w:pPr>
        <w:spacing w:after="0" w:line="240" w:lineRule="auto"/>
      </w:pPr>
      <w:r>
        <w:separator/>
      </w:r>
    </w:p>
  </w:endnote>
  <w:endnote w:type="continuationSeparator" w:id="0">
    <w:p w14:paraId="46002781" w14:textId="77777777" w:rsidR="004A031E" w:rsidRDefault="004A031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0C5BFA5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17B6A">
          <w:rPr>
            <w:rFonts w:ascii="Sylfaen" w:hAnsi="Sylfaen"/>
            <w:noProof/>
            <w:sz w:val="24"/>
            <w:szCs w:val="24"/>
          </w:rPr>
          <w:t>15</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A8644" w14:textId="77777777" w:rsidR="004A031E" w:rsidRDefault="004A031E" w:rsidP="008E78F7">
      <w:pPr>
        <w:spacing w:after="0" w:line="240" w:lineRule="auto"/>
      </w:pPr>
      <w:r>
        <w:separator/>
      </w:r>
    </w:p>
  </w:footnote>
  <w:footnote w:type="continuationSeparator" w:id="0">
    <w:p w14:paraId="55277E69" w14:textId="77777777" w:rsidR="004A031E" w:rsidRDefault="004A031E"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6BE3C598" w14:textId="633DB3D1" w:rsidR="006B3B75" w:rsidRPr="006B3B75" w:rsidRDefault="006B3B75" w:rsidP="006B3B75">
      <w:pPr>
        <w:pStyle w:val="a6"/>
        <w:ind w:left="-720" w:right="-810"/>
        <w:jc w:val="both"/>
        <w:rPr>
          <w:lang w:val="ka-GE"/>
        </w:rPr>
      </w:pPr>
      <w:r>
        <w:rPr>
          <w:rStyle w:val="a8"/>
        </w:rPr>
        <w:footnoteRef/>
      </w:r>
      <w:r w:rsidRPr="00E60AE2">
        <w:rPr>
          <w:lang w:val="ka-GE"/>
        </w:rPr>
        <w:t xml:space="preserve"> </w:t>
      </w:r>
      <w:r w:rsidRPr="006B3B75">
        <w:rPr>
          <w:rFonts w:ascii="Sylfaen" w:hAnsi="Sylfaen"/>
          <w:sz w:val="18"/>
          <w:szCs w:val="18"/>
          <w:lang w:val="ka-GE"/>
        </w:rPr>
        <w:t>საქართველოს 1997 წლის 11 დეკემბრის კანონი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 (პარლამენტის უწყებანი 47-48, 31/12/1997), მუხლი 7(1)</w:t>
      </w:r>
    </w:p>
  </w:footnote>
  <w:footnote w:id="7">
    <w:p w14:paraId="0CB2875D" w14:textId="63809FB5" w:rsidR="006B3B75" w:rsidRPr="006B3B75" w:rsidRDefault="006B3B75" w:rsidP="006B3B75">
      <w:pPr>
        <w:pStyle w:val="a6"/>
        <w:ind w:left="-720"/>
        <w:rPr>
          <w:lang w:val="ka-GE"/>
        </w:rPr>
      </w:pPr>
      <w:r w:rsidRPr="006B3B75">
        <w:rPr>
          <w:rFonts w:ascii="Sylfaen" w:hAnsi="Sylfaen"/>
          <w:sz w:val="18"/>
          <w:szCs w:val="18"/>
          <w:lang w:val="ka-GE"/>
        </w:rPr>
        <w:footnoteRef/>
      </w:r>
      <w:r w:rsidRPr="006B3B75">
        <w:rPr>
          <w:rFonts w:ascii="Sylfaen" w:hAnsi="Sylfaen"/>
          <w:sz w:val="18"/>
          <w:szCs w:val="18"/>
          <w:lang w:val="ka-GE"/>
        </w:rPr>
        <w:t xml:space="preserve"> </w:t>
      </w:r>
      <w:r w:rsidRPr="006B3B75">
        <w:rPr>
          <w:rFonts w:ascii="Sylfaen" w:hAnsi="Sylfaen"/>
          <w:sz w:val="18"/>
          <w:szCs w:val="18"/>
          <w:lang w:val="ka-GE"/>
        </w:rPr>
        <w:t>იქვე, მუხლი 9</w:t>
      </w:r>
      <w:r>
        <w:rPr>
          <w:rFonts w:ascii="Sylfaen" w:hAnsi="Sylfaen"/>
          <w:sz w:val="18"/>
          <w:szCs w:val="18"/>
          <w:lang w:val="ka-GE"/>
        </w:rPr>
        <w:t>(2)</w:t>
      </w:r>
    </w:p>
  </w:footnote>
  <w:footnote w:id="8">
    <w:p w14:paraId="7E926130" w14:textId="5BFCA3B8" w:rsidR="009A7181" w:rsidRPr="009A7181" w:rsidRDefault="009A7181" w:rsidP="009A7181">
      <w:pPr>
        <w:pStyle w:val="a6"/>
        <w:ind w:left="-720" w:right="-810"/>
        <w:jc w:val="both"/>
        <w:rPr>
          <w:lang w:val="ka-GE"/>
        </w:rPr>
      </w:pPr>
      <w:r>
        <w:rPr>
          <w:rStyle w:val="a8"/>
        </w:rPr>
        <w:footnoteRef/>
      </w:r>
      <w:r w:rsidRPr="00E60AE2">
        <w:rPr>
          <w:lang w:val="ka-GE"/>
        </w:rPr>
        <w:t xml:space="preserve"> </w:t>
      </w:r>
      <w:r w:rsidRPr="009A7181">
        <w:rPr>
          <w:rFonts w:ascii="Sylfaen" w:hAnsi="Sylfaen"/>
          <w:sz w:val="18"/>
          <w:szCs w:val="18"/>
          <w:lang w:val="ka-GE"/>
        </w:rPr>
        <w:t>საქართველოს საკონსტიტუციო სასამართლოს პლენუმის 2010 წლის 28 დეკემბრის N1/494 განჩინება საქმეზე „საქართველოს მოქალაქე ვლადიმერ ვახანია საქართველოს პარლამენტის წინააღმდეგ“, II-7-</w:t>
      </w:r>
      <w:r>
        <w:rPr>
          <w:rFonts w:ascii="Sylfaen" w:hAnsi="Sylfaen"/>
          <w:sz w:val="18"/>
          <w:szCs w:val="18"/>
          <w:lang w:val="ka-GE"/>
        </w:rPr>
        <w:t>9</w:t>
      </w:r>
      <w:r w:rsidRPr="009A7181">
        <w:rPr>
          <w:rFonts w:ascii="Sylfaen" w:hAnsi="Sylfaen"/>
          <w:sz w:val="18"/>
          <w:szCs w:val="18"/>
          <w:lang w:val="ka-GE"/>
        </w:rPr>
        <w:t>.</w:t>
      </w:r>
    </w:p>
  </w:footnote>
  <w:footnote w:id="9">
    <w:p w14:paraId="1DEC5348" w14:textId="47F336B6" w:rsidR="009A7181" w:rsidRPr="009A7181" w:rsidRDefault="009A7181" w:rsidP="009A7181">
      <w:pPr>
        <w:pStyle w:val="a6"/>
        <w:ind w:left="-720" w:right="-810"/>
        <w:jc w:val="both"/>
        <w:rPr>
          <w:lang w:val="ka-GE"/>
        </w:rPr>
      </w:pPr>
      <w:r>
        <w:rPr>
          <w:rStyle w:val="a8"/>
        </w:rPr>
        <w:footnoteRef/>
      </w:r>
      <w:r w:rsidRPr="00E60AE2">
        <w:rPr>
          <w:lang w:val="ka-GE"/>
        </w:rPr>
        <w:t xml:space="preserve"> </w:t>
      </w:r>
      <w:r w:rsidRPr="009A7181">
        <w:rPr>
          <w:rFonts w:ascii="Sylfaen" w:hAnsi="Sylfaen"/>
          <w:sz w:val="18"/>
          <w:szCs w:val="18"/>
          <w:lang w:val="ka-GE"/>
        </w:rPr>
        <w:t>საქართველოს საკონსტიტუციო სასამართლოს პლენუმის 2010 წლის 28 დეკემბრის N1/494 განჩინება საქმეზე „საქართველოს მოქალაქე ვლადიმერ ვახანია საქართველოს პარლამენტის წინააღმდეგ“, II-</w:t>
      </w:r>
      <w:r>
        <w:rPr>
          <w:rFonts w:ascii="Sylfaen" w:hAnsi="Sylfaen"/>
          <w:sz w:val="18"/>
          <w:szCs w:val="18"/>
          <w:lang w:val="ka-GE"/>
        </w:rPr>
        <w:t>8</w:t>
      </w:r>
    </w:p>
  </w:footnote>
  <w:footnote w:id="10">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11">
    <w:p w14:paraId="50874AC2" w14:textId="77777777" w:rsidR="00E60AE2" w:rsidRPr="00E60AE2" w:rsidRDefault="00E60AE2" w:rsidP="00E60AE2">
      <w:pPr>
        <w:ind w:left="-720" w:right="-810"/>
        <w:jc w:val="both"/>
        <w:rPr>
          <w:rFonts w:ascii="Sylfaen" w:hAnsi="Sylfaen"/>
          <w:lang w:val="ka-GE"/>
        </w:rPr>
      </w:pPr>
      <w:r>
        <w:rPr>
          <w:rStyle w:val="a8"/>
        </w:rPr>
        <w:footnoteRef/>
      </w:r>
      <w:r w:rsidRPr="00E60AE2">
        <w:rPr>
          <w:lang w:val="ka-GE"/>
        </w:rPr>
        <w:t xml:space="preserve"> </w:t>
      </w:r>
      <w:r w:rsidRPr="00E60AE2">
        <w:rPr>
          <w:rFonts w:ascii="Sylfaen" w:hAnsi="Sylfaen"/>
          <w:sz w:val="18"/>
          <w:szCs w:val="18"/>
          <w:lang w:val="ka-GE"/>
        </w:rPr>
        <w:t>საქართველოს საკონსტიტუციო სასამართლოს 2015 წლის 31 ივლისის N2/3/630 გადაწყვეტილება საქმეზე „საქართველოს მოქალაქე თინა ბეჟიტაშვილი საქართველოს პარლამენტის წინააღმდეგ“, II-3</w:t>
      </w:r>
    </w:p>
    <w:p w14:paraId="4C3C1B37" w14:textId="714BDAC0" w:rsidR="00E60AE2" w:rsidRPr="00E60AE2" w:rsidRDefault="00E60AE2">
      <w:pPr>
        <w:pStyle w:val="a6"/>
        <w:rPr>
          <w:lang w:val="ka-GE"/>
        </w:rPr>
      </w:pPr>
    </w:p>
  </w:footnote>
  <w:footnote w:id="12">
    <w:p w14:paraId="006877D5" w14:textId="3784C73A" w:rsidR="002A35E1" w:rsidRPr="00337469" w:rsidRDefault="002A35E1" w:rsidP="00337469">
      <w:pPr>
        <w:spacing w:line="240" w:lineRule="auto"/>
        <w:ind w:left="-720"/>
        <w:jc w:val="both"/>
        <w:rPr>
          <w:rFonts w:ascii="Sylfaen" w:hAnsi="Sylfaen"/>
          <w:sz w:val="20"/>
          <w:szCs w:val="20"/>
          <w:lang w:val="ka-GE"/>
        </w:rPr>
      </w:pPr>
      <w:r w:rsidRPr="002A35E1">
        <w:rPr>
          <w:rStyle w:val="a8"/>
          <w:sz w:val="20"/>
          <w:szCs w:val="20"/>
        </w:rPr>
        <w:footnoteRef/>
      </w:r>
      <w:r w:rsidRPr="002A35E1">
        <w:rPr>
          <w:sz w:val="20"/>
          <w:szCs w:val="20"/>
          <w:lang w:val="ka-GE"/>
        </w:rPr>
        <w:t xml:space="preserve"> </w:t>
      </w:r>
      <w:r w:rsidRPr="002A35E1">
        <w:rPr>
          <w:rFonts w:ascii="Sylfaen" w:hAnsi="Sylfaen"/>
          <w:sz w:val="18"/>
          <w:szCs w:val="18"/>
          <w:lang w:val="ka-GE"/>
        </w:rPr>
        <w:t>საქართველოს საკონსტიტუციო სასამართლოს 2009 წლის 7 დეკემბრის N2/3/423 გადაწყვეტილება საქმეზე: „სახალხო დამცველი საქართველოს პარლამენტის წინააღდეგ“, II-2 https://constcourt.ge/ka/judicial-acts?legal=308</w:t>
      </w:r>
    </w:p>
  </w:footnote>
  <w:footnote w:id="13">
    <w:p w14:paraId="01E6716D" w14:textId="77777777" w:rsidR="0046604B" w:rsidRPr="00337469" w:rsidRDefault="0046604B" w:rsidP="0046604B">
      <w:pPr>
        <w:pStyle w:val="a6"/>
        <w:ind w:left="-720" w:right="-720"/>
        <w:rPr>
          <w:lang w:val="ka-GE"/>
        </w:rPr>
      </w:pPr>
      <w:r>
        <w:rPr>
          <w:rStyle w:val="a8"/>
        </w:rPr>
        <w:footnoteRef/>
      </w:r>
      <w:r w:rsidRPr="00337469">
        <w:rPr>
          <w:lang w:val="ka-GE"/>
        </w:rPr>
        <w:t xml:space="preserve"> </w:t>
      </w:r>
      <w:r w:rsidRPr="002A35E1">
        <w:rPr>
          <w:rFonts w:ascii="Sylfaen" w:hAnsi="Sylfaen"/>
          <w:sz w:val="18"/>
          <w:szCs w:val="18"/>
          <w:lang w:val="ka-GE"/>
        </w:rPr>
        <w:t>საქართველოს საკონსტიტუციო სასამართლოს 2009 წლის 7 დეკემბრის N2/3/423 გადაწყვეტილება საქმეზე: „სახალხო დამცველი საქართველოს პარლამენტის წინააღდეგ“, II-2</w:t>
      </w:r>
      <w:r>
        <w:rPr>
          <w:rFonts w:ascii="Sylfaen" w:hAnsi="Sylfaen"/>
          <w:sz w:val="18"/>
          <w:szCs w:val="18"/>
          <w:lang w:val="ka-GE"/>
        </w:rPr>
        <w:t>0;</w:t>
      </w:r>
      <w:r w:rsidRPr="002A35E1">
        <w:rPr>
          <w:rFonts w:ascii="Sylfaen" w:hAnsi="Sylfaen"/>
          <w:sz w:val="18"/>
          <w:szCs w:val="18"/>
          <w:lang w:val="ka-GE"/>
        </w:rPr>
        <w:t xml:space="preserve"> https://constcourt.ge/ka/judicial-acts?legal=308</w:t>
      </w:r>
    </w:p>
  </w:footnote>
  <w:footnote w:id="14">
    <w:p w14:paraId="0D48BFBE" w14:textId="46E61232" w:rsidR="002059B4" w:rsidRPr="002A35E1" w:rsidRDefault="002059B4" w:rsidP="00337469">
      <w:pPr>
        <w:spacing w:line="240" w:lineRule="auto"/>
        <w:ind w:left="-720" w:right="-720"/>
        <w:jc w:val="both"/>
        <w:rPr>
          <w:rFonts w:ascii="Sylfaen" w:hAnsi="Sylfaen"/>
          <w:lang w:val="ka-GE"/>
        </w:rPr>
      </w:pPr>
      <w:r>
        <w:rPr>
          <w:rStyle w:val="a8"/>
        </w:rPr>
        <w:footnoteRef/>
      </w:r>
      <w:r w:rsidRPr="002A35E1">
        <w:rPr>
          <w:lang w:val="ka-GE"/>
        </w:rPr>
        <w:t xml:space="preserve"> </w:t>
      </w:r>
      <w:r w:rsidRPr="002A35E1">
        <w:rPr>
          <w:rFonts w:ascii="Sylfaen" w:hAnsi="Sylfaen"/>
          <w:sz w:val="20"/>
          <w:szCs w:val="20"/>
          <w:lang w:val="ka-GE"/>
        </w:rPr>
        <w:t>საქართველოს საკონსტიტუციო სასამართლოს 2020 წლის 29 აპრილის N2/2/1283 განჩინება საქმეზე “ზურაბ დგებუაძე საქართველოს პარლამენტის წინააღმდეგ”, II-12; https://constcourt.ge</w:t>
      </w:r>
      <w:bookmarkStart w:id="1" w:name="_GoBack"/>
      <w:bookmarkEnd w:id="1"/>
      <w:r w:rsidRPr="002A35E1">
        <w:rPr>
          <w:rFonts w:ascii="Sylfaen" w:hAnsi="Sylfaen"/>
          <w:sz w:val="20"/>
          <w:szCs w:val="20"/>
          <w:lang w:val="ka-GE"/>
        </w:rPr>
        <w:t>/ka/judicial-acts?legal=9097</w:t>
      </w:r>
    </w:p>
  </w:footnote>
  <w:footnote w:id="15">
    <w:p w14:paraId="002BFAF1" w14:textId="7D68CEA1" w:rsidR="00337469" w:rsidRPr="007559B5" w:rsidRDefault="00337469" w:rsidP="00337469">
      <w:pPr>
        <w:pStyle w:val="a6"/>
        <w:ind w:left="-720" w:right="-720"/>
        <w:jc w:val="both"/>
        <w:rPr>
          <w:rFonts w:ascii="Sylfaen" w:hAnsi="Sylfaen"/>
          <w:lang w:val="ka-GE"/>
        </w:rPr>
      </w:pPr>
      <w:r>
        <w:rPr>
          <w:rStyle w:val="a8"/>
        </w:rPr>
        <w:footnoteRef/>
      </w:r>
      <w:r w:rsidRPr="00337469">
        <w:rPr>
          <w:lang w:val="ka-GE"/>
        </w:rPr>
        <w:t xml:space="preserve"> </w:t>
      </w:r>
      <w:r>
        <w:rPr>
          <w:rFonts w:ascii="Sylfaen" w:hAnsi="Sylfaen"/>
          <w:lang w:val="ka-GE"/>
        </w:rPr>
        <w:t xml:space="preserve">„საქართველოს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 საქართველოს კანონში ცვლილების შეტანის თაობაზე საქართველოს 2014 წლის 31 ოქტომბრის კანონი, მუხლი 1.ბ, </w:t>
      </w:r>
      <w:r w:rsidRPr="00337469">
        <w:rPr>
          <w:rFonts w:ascii="Sylfaen" w:hAnsi="Sylfaen"/>
          <w:lang w:val="ka-GE"/>
        </w:rPr>
        <w:t>https://matsne.gov.ge/ka/document/view/2570457?publication=0</w:t>
      </w:r>
    </w:p>
  </w:footnote>
  <w:footnote w:id="16">
    <w:p w14:paraId="0EE76838" w14:textId="4BF0BF24" w:rsidR="007559B5" w:rsidRPr="007559B5" w:rsidRDefault="007559B5" w:rsidP="007559B5">
      <w:pPr>
        <w:pStyle w:val="a6"/>
        <w:ind w:left="-720" w:right="-810"/>
        <w:jc w:val="both"/>
        <w:rPr>
          <w:rFonts w:ascii="Sylfaen" w:hAnsi="Sylfaen"/>
          <w:lang w:val="ka-GE"/>
        </w:rPr>
      </w:pPr>
      <w:r w:rsidRPr="007559B5">
        <w:rPr>
          <w:rStyle w:val="a8"/>
        </w:rPr>
        <w:footnoteRef/>
      </w:r>
      <w:r w:rsidRPr="007559B5">
        <w:rPr>
          <w:rStyle w:val="a8"/>
        </w:rPr>
        <w:t xml:space="preserve"> </w:t>
      </w:r>
      <w:r w:rsidRPr="007559B5">
        <w:rPr>
          <w:rFonts w:ascii="Sylfaen" w:hAnsi="Sylfaen"/>
          <w:lang w:val="ka-GE"/>
        </w:rPr>
        <w:t>საქართველოს საკონსტიტუციო სასამართლოს 2018 წლის 26 ივლისის N2/5/700 გადაწყვეტილება საქმეზე „შპს კოკა-კოლა ბოთლერს ჯორჯია“ და სს „წყალი მარგებელი“ საქართველოს პარლამენტისა და საქართველოს ფინანსთა მინისტრის წინააღმდეგ“., II – 21</w:t>
      </w:r>
    </w:p>
  </w:footnote>
  <w:footnote w:id="17">
    <w:p w14:paraId="665DB85C" w14:textId="21D49B31" w:rsidR="007559B5" w:rsidRPr="007559B5" w:rsidRDefault="007559B5" w:rsidP="007559B5">
      <w:pPr>
        <w:pStyle w:val="a6"/>
        <w:ind w:left="-720" w:right="-900"/>
        <w:jc w:val="both"/>
        <w:rPr>
          <w:lang w:val="ka-GE"/>
        </w:rPr>
      </w:pPr>
      <w:r>
        <w:rPr>
          <w:rStyle w:val="a8"/>
        </w:rPr>
        <w:footnoteRef/>
      </w:r>
      <w:r>
        <w:t xml:space="preserve"> </w:t>
      </w:r>
      <w:r w:rsidRPr="0000393B">
        <w:rPr>
          <w:rFonts w:ascii="Sylfaen" w:hAnsi="Sylfaen"/>
          <w:lang w:val="ka-GE"/>
        </w:rPr>
        <w:t>საქართველოს საკონსტიტუციო სასამართლოს 2018 წლის 19 ოქტომბრის №1/6/1292 განჩინება საქმეზე „საქართველოს სახალხო დამცველი საქართველოს პარლამენტის წინააღმდეგ“, II-23</w:t>
      </w:r>
    </w:p>
  </w:footnote>
  <w:footnote w:id="18">
    <w:p w14:paraId="3E8DBB61" w14:textId="34A52D4B" w:rsidR="007D5B29" w:rsidRPr="007D5B29" w:rsidRDefault="007D5B29" w:rsidP="007D5B29">
      <w:pPr>
        <w:pStyle w:val="a6"/>
        <w:ind w:left="-720" w:right="-720"/>
        <w:rPr>
          <w:lang w:val="ka-GE"/>
        </w:rPr>
      </w:pPr>
      <w:r>
        <w:rPr>
          <w:rStyle w:val="a8"/>
        </w:rPr>
        <w:footnoteRef/>
      </w:r>
      <w:r>
        <w:t xml:space="preserve"> </w:t>
      </w:r>
      <w:r>
        <w:rPr>
          <w:lang w:val="ka-GE"/>
        </w:rPr>
        <w:t>საქართველოს 2009 წლის 9 ნოემბრის ორგანული კანონი „ნორმატიული აქტების შესახებ“, მუხლი 20(4)</w:t>
      </w:r>
    </w:p>
  </w:footnote>
  <w:footnote w:id="19">
    <w:p w14:paraId="2E987F00" w14:textId="31543381" w:rsidR="007D5B29" w:rsidRPr="007D5B29" w:rsidRDefault="007D5B29" w:rsidP="007D5B29">
      <w:pPr>
        <w:pStyle w:val="a6"/>
        <w:ind w:left="-720"/>
        <w:rPr>
          <w:lang w:val="ka-GE"/>
        </w:rPr>
      </w:pPr>
      <w:r>
        <w:rPr>
          <w:rStyle w:val="a8"/>
        </w:rPr>
        <w:footnoteRef/>
      </w:r>
      <w:r>
        <w:t xml:space="preserve"> </w:t>
      </w:r>
      <w:r>
        <w:rPr>
          <w:lang w:val="ka-GE"/>
        </w:rPr>
        <w:t>საქართველოს 2009 წლის 9 ნოემბრის ორგანული კანონი „ნორმატიული აქტების შესახებ“, მუხლი 16(4)</w:t>
      </w:r>
    </w:p>
  </w:footnote>
  <w:footnote w:id="20">
    <w:p w14:paraId="2D4A5941" w14:textId="68A68750" w:rsidR="007D5B29" w:rsidRPr="007D5B29" w:rsidRDefault="007D5B29" w:rsidP="007D5B29">
      <w:pPr>
        <w:pStyle w:val="a6"/>
        <w:ind w:left="-720"/>
        <w:rPr>
          <w:lang w:val="ka-GE"/>
        </w:rPr>
      </w:pPr>
      <w:r>
        <w:rPr>
          <w:rStyle w:val="a8"/>
        </w:rPr>
        <w:footnoteRef/>
      </w:r>
      <w:r>
        <w:t xml:space="preserve"> </w:t>
      </w:r>
      <w:r>
        <w:rPr>
          <w:lang w:val="ka-GE"/>
        </w:rPr>
        <w:t>საქართველოს 2009 წლის 9 ნოემბრის ორგანული კანონი „ნორმატიული აქტების შესახებ“, მუხლი 16(5)</w:t>
      </w:r>
    </w:p>
  </w:footnote>
  <w:footnote w:id="21">
    <w:p w14:paraId="58741817" w14:textId="594653E7" w:rsidR="00A863AC" w:rsidRPr="00A863AC" w:rsidRDefault="00A863AC" w:rsidP="00A863AC">
      <w:pPr>
        <w:ind w:left="-720" w:right="-720"/>
        <w:jc w:val="both"/>
        <w:rPr>
          <w:rFonts w:ascii="Sylfaen" w:hAnsi="Sylfaen"/>
        </w:rPr>
      </w:pPr>
      <w:r>
        <w:rPr>
          <w:rStyle w:val="a8"/>
        </w:rPr>
        <w:footnoteRef/>
      </w:r>
      <w:r>
        <w:t xml:space="preserve"> </w:t>
      </w:r>
      <w:r w:rsidRPr="00A863AC">
        <w:rPr>
          <w:sz w:val="20"/>
          <w:szCs w:val="20"/>
          <w:lang w:val="ka-GE"/>
        </w:rPr>
        <w:t xml:space="preserve">საქართველოს საკონსტიტუციო სასამართლოს 2023 წლის 15 დეკემბრის N3/5/1502,1503 გადაწყვეტილება საქმეზე „ზაურ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 </w:t>
      </w:r>
      <w:r>
        <w:rPr>
          <w:sz w:val="20"/>
          <w:szCs w:val="20"/>
          <w:lang w:val="ka-GE"/>
        </w:rPr>
        <w:t>II</w:t>
      </w:r>
      <w:r w:rsidRPr="00A863AC">
        <w:rPr>
          <w:sz w:val="20"/>
          <w:szCs w:val="20"/>
          <w:lang w:val="ka-GE"/>
        </w:rPr>
        <w:t>-137</w:t>
      </w:r>
    </w:p>
    <w:p w14:paraId="3CDF1576" w14:textId="78CCFD00" w:rsidR="00A863AC" w:rsidRDefault="00A863AC">
      <w:pPr>
        <w:pStyle w:val="a6"/>
      </w:pPr>
    </w:p>
  </w:footnote>
  <w:footnote w:id="22">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3">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162B"/>
    <w:rsid w:val="000341DF"/>
    <w:rsid w:val="00046DDA"/>
    <w:rsid w:val="00047385"/>
    <w:rsid w:val="00054F9D"/>
    <w:rsid w:val="000829D7"/>
    <w:rsid w:val="000D40EC"/>
    <w:rsid w:val="000E189A"/>
    <w:rsid w:val="000E2D2B"/>
    <w:rsid w:val="00101A9F"/>
    <w:rsid w:val="00127495"/>
    <w:rsid w:val="00133ECC"/>
    <w:rsid w:val="001402D7"/>
    <w:rsid w:val="00144FCF"/>
    <w:rsid w:val="001663D7"/>
    <w:rsid w:val="00197621"/>
    <w:rsid w:val="001B3DAB"/>
    <w:rsid w:val="001C7E3E"/>
    <w:rsid w:val="001E5828"/>
    <w:rsid w:val="001F609E"/>
    <w:rsid w:val="002059B4"/>
    <w:rsid w:val="00222C19"/>
    <w:rsid w:val="0022545E"/>
    <w:rsid w:val="00230F8F"/>
    <w:rsid w:val="00237889"/>
    <w:rsid w:val="0026217F"/>
    <w:rsid w:val="0028540D"/>
    <w:rsid w:val="002A0BF4"/>
    <w:rsid w:val="002A35E1"/>
    <w:rsid w:val="002B58D8"/>
    <w:rsid w:val="002C0612"/>
    <w:rsid w:val="002D2CCE"/>
    <w:rsid w:val="002F127B"/>
    <w:rsid w:val="00306CCD"/>
    <w:rsid w:val="00314677"/>
    <w:rsid w:val="00336A11"/>
    <w:rsid w:val="00337469"/>
    <w:rsid w:val="0034265A"/>
    <w:rsid w:val="00352FDF"/>
    <w:rsid w:val="00362C7A"/>
    <w:rsid w:val="00384803"/>
    <w:rsid w:val="003D7B85"/>
    <w:rsid w:val="003E44A8"/>
    <w:rsid w:val="003E53A4"/>
    <w:rsid w:val="00412528"/>
    <w:rsid w:val="00433931"/>
    <w:rsid w:val="00442530"/>
    <w:rsid w:val="0046604B"/>
    <w:rsid w:val="00474A54"/>
    <w:rsid w:val="00492D82"/>
    <w:rsid w:val="00496B05"/>
    <w:rsid w:val="004A031E"/>
    <w:rsid w:val="004B599A"/>
    <w:rsid w:val="004C236A"/>
    <w:rsid w:val="004D5D19"/>
    <w:rsid w:val="004F21BA"/>
    <w:rsid w:val="00511FEA"/>
    <w:rsid w:val="00513152"/>
    <w:rsid w:val="0051700A"/>
    <w:rsid w:val="005175C6"/>
    <w:rsid w:val="00525704"/>
    <w:rsid w:val="00550B75"/>
    <w:rsid w:val="00552A67"/>
    <w:rsid w:val="005670A2"/>
    <w:rsid w:val="005D11C7"/>
    <w:rsid w:val="005E6511"/>
    <w:rsid w:val="005F7FBF"/>
    <w:rsid w:val="00635558"/>
    <w:rsid w:val="006645DE"/>
    <w:rsid w:val="0068635A"/>
    <w:rsid w:val="006B279E"/>
    <w:rsid w:val="006B3B75"/>
    <w:rsid w:val="006B70C0"/>
    <w:rsid w:val="006C2E72"/>
    <w:rsid w:val="006F0208"/>
    <w:rsid w:val="00717B6A"/>
    <w:rsid w:val="00732146"/>
    <w:rsid w:val="007559B5"/>
    <w:rsid w:val="007806D5"/>
    <w:rsid w:val="00787111"/>
    <w:rsid w:val="00787902"/>
    <w:rsid w:val="007B5CBC"/>
    <w:rsid w:val="007C043F"/>
    <w:rsid w:val="007C4972"/>
    <w:rsid w:val="007D34F4"/>
    <w:rsid w:val="007D5B29"/>
    <w:rsid w:val="007F1D75"/>
    <w:rsid w:val="007F449B"/>
    <w:rsid w:val="0082782D"/>
    <w:rsid w:val="00871DC9"/>
    <w:rsid w:val="008801A4"/>
    <w:rsid w:val="008A68C1"/>
    <w:rsid w:val="008D5E38"/>
    <w:rsid w:val="008E78F7"/>
    <w:rsid w:val="008F4E86"/>
    <w:rsid w:val="0092147C"/>
    <w:rsid w:val="009317FC"/>
    <w:rsid w:val="00937649"/>
    <w:rsid w:val="00940604"/>
    <w:rsid w:val="009560E3"/>
    <w:rsid w:val="00960B6D"/>
    <w:rsid w:val="00962BBF"/>
    <w:rsid w:val="009662D7"/>
    <w:rsid w:val="00970A69"/>
    <w:rsid w:val="009827F2"/>
    <w:rsid w:val="009A7181"/>
    <w:rsid w:val="009B6EA0"/>
    <w:rsid w:val="009E7FE7"/>
    <w:rsid w:val="00A17E5A"/>
    <w:rsid w:val="00A20A20"/>
    <w:rsid w:val="00A2210B"/>
    <w:rsid w:val="00A52DEE"/>
    <w:rsid w:val="00A5617B"/>
    <w:rsid w:val="00A70101"/>
    <w:rsid w:val="00A83662"/>
    <w:rsid w:val="00A8482A"/>
    <w:rsid w:val="00A863AC"/>
    <w:rsid w:val="00A91957"/>
    <w:rsid w:val="00AA01A8"/>
    <w:rsid w:val="00AA7635"/>
    <w:rsid w:val="00AB7617"/>
    <w:rsid w:val="00AB7FB5"/>
    <w:rsid w:val="00AD416E"/>
    <w:rsid w:val="00AF7A92"/>
    <w:rsid w:val="00B0194D"/>
    <w:rsid w:val="00B034BF"/>
    <w:rsid w:val="00B43CB7"/>
    <w:rsid w:val="00B57A83"/>
    <w:rsid w:val="00B613DF"/>
    <w:rsid w:val="00B64F28"/>
    <w:rsid w:val="00B93430"/>
    <w:rsid w:val="00BB2C73"/>
    <w:rsid w:val="00BB71E0"/>
    <w:rsid w:val="00BC267F"/>
    <w:rsid w:val="00BD127E"/>
    <w:rsid w:val="00C03EFC"/>
    <w:rsid w:val="00C25784"/>
    <w:rsid w:val="00C304C0"/>
    <w:rsid w:val="00C809BC"/>
    <w:rsid w:val="00CA404F"/>
    <w:rsid w:val="00CC05BB"/>
    <w:rsid w:val="00CD6807"/>
    <w:rsid w:val="00D10870"/>
    <w:rsid w:val="00D253B1"/>
    <w:rsid w:val="00D322AD"/>
    <w:rsid w:val="00D36E35"/>
    <w:rsid w:val="00D3702E"/>
    <w:rsid w:val="00D46E4D"/>
    <w:rsid w:val="00D527CD"/>
    <w:rsid w:val="00D60125"/>
    <w:rsid w:val="00D650B6"/>
    <w:rsid w:val="00D669A4"/>
    <w:rsid w:val="00D80614"/>
    <w:rsid w:val="00DA68B3"/>
    <w:rsid w:val="00DB15E7"/>
    <w:rsid w:val="00DC36AD"/>
    <w:rsid w:val="00DF2162"/>
    <w:rsid w:val="00DF706E"/>
    <w:rsid w:val="00E02D7B"/>
    <w:rsid w:val="00E25F88"/>
    <w:rsid w:val="00E31D88"/>
    <w:rsid w:val="00E371FD"/>
    <w:rsid w:val="00E51596"/>
    <w:rsid w:val="00E60AE2"/>
    <w:rsid w:val="00E62EAE"/>
    <w:rsid w:val="00E63E5F"/>
    <w:rsid w:val="00E67B2E"/>
    <w:rsid w:val="00E94729"/>
    <w:rsid w:val="00E964DF"/>
    <w:rsid w:val="00F01540"/>
    <w:rsid w:val="00F52E23"/>
    <w:rsid w:val="00F6114C"/>
    <w:rsid w:val="00F715DD"/>
    <w:rsid w:val="00F84292"/>
    <w:rsid w:val="00F87B48"/>
    <w:rsid w:val="00F9796D"/>
    <w:rsid w:val="00FA12B5"/>
    <w:rsid w:val="00FE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8854">
      <w:bodyDiv w:val="1"/>
      <w:marLeft w:val="0"/>
      <w:marRight w:val="0"/>
      <w:marTop w:val="0"/>
      <w:marBottom w:val="0"/>
      <w:divBdr>
        <w:top w:val="none" w:sz="0" w:space="0" w:color="auto"/>
        <w:left w:val="none" w:sz="0" w:space="0" w:color="auto"/>
        <w:bottom w:val="none" w:sz="0" w:space="0" w:color="auto"/>
        <w:right w:val="none" w:sz="0" w:space="0" w:color="auto"/>
      </w:divBdr>
    </w:div>
    <w:div w:id="313409841">
      <w:bodyDiv w:val="1"/>
      <w:marLeft w:val="0"/>
      <w:marRight w:val="0"/>
      <w:marTop w:val="0"/>
      <w:marBottom w:val="0"/>
      <w:divBdr>
        <w:top w:val="none" w:sz="0" w:space="0" w:color="auto"/>
        <w:left w:val="none" w:sz="0" w:space="0" w:color="auto"/>
        <w:bottom w:val="none" w:sz="0" w:space="0" w:color="auto"/>
        <w:right w:val="none" w:sz="0" w:space="0" w:color="auto"/>
      </w:divBdr>
    </w:div>
    <w:div w:id="349920147">
      <w:bodyDiv w:val="1"/>
      <w:marLeft w:val="0"/>
      <w:marRight w:val="0"/>
      <w:marTop w:val="0"/>
      <w:marBottom w:val="0"/>
      <w:divBdr>
        <w:top w:val="none" w:sz="0" w:space="0" w:color="auto"/>
        <w:left w:val="none" w:sz="0" w:space="0" w:color="auto"/>
        <w:bottom w:val="none" w:sz="0" w:space="0" w:color="auto"/>
        <w:right w:val="none" w:sz="0" w:space="0" w:color="auto"/>
      </w:divBdr>
    </w:div>
    <w:div w:id="573508412">
      <w:bodyDiv w:val="1"/>
      <w:marLeft w:val="0"/>
      <w:marRight w:val="0"/>
      <w:marTop w:val="0"/>
      <w:marBottom w:val="0"/>
      <w:divBdr>
        <w:top w:val="none" w:sz="0" w:space="0" w:color="auto"/>
        <w:left w:val="none" w:sz="0" w:space="0" w:color="auto"/>
        <w:bottom w:val="none" w:sz="0" w:space="0" w:color="auto"/>
        <w:right w:val="none" w:sz="0" w:space="0" w:color="auto"/>
      </w:divBdr>
    </w:div>
    <w:div w:id="734276587">
      <w:bodyDiv w:val="1"/>
      <w:marLeft w:val="0"/>
      <w:marRight w:val="0"/>
      <w:marTop w:val="0"/>
      <w:marBottom w:val="0"/>
      <w:divBdr>
        <w:top w:val="none" w:sz="0" w:space="0" w:color="auto"/>
        <w:left w:val="none" w:sz="0" w:space="0" w:color="auto"/>
        <w:bottom w:val="none" w:sz="0" w:space="0" w:color="auto"/>
        <w:right w:val="none" w:sz="0" w:space="0" w:color="auto"/>
      </w:divBdr>
    </w:div>
    <w:div w:id="923033931">
      <w:bodyDiv w:val="1"/>
      <w:marLeft w:val="0"/>
      <w:marRight w:val="0"/>
      <w:marTop w:val="0"/>
      <w:marBottom w:val="0"/>
      <w:divBdr>
        <w:top w:val="none" w:sz="0" w:space="0" w:color="auto"/>
        <w:left w:val="none" w:sz="0" w:space="0" w:color="auto"/>
        <w:bottom w:val="none" w:sz="0" w:space="0" w:color="auto"/>
        <w:right w:val="none" w:sz="0" w:space="0" w:color="auto"/>
      </w:divBdr>
    </w:div>
    <w:div w:id="1370454069">
      <w:bodyDiv w:val="1"/>
      <w:marLeft w:val="0"/>
      <w:marRight w:val="0"/>
      <w:marTop w:val="0"/>
      <w:marBottom w:val="0"/>
      <w:divBdr>
        <w:top w:val="none" w:sz="0" w:space="0" w:color="auto"/>
        <w:left w:val="none" w:sz="0" w:space="0" w:color="auto"/>
        <w:bottom w:val="none" w:sz="0" w:space="0" w:color="auto"/>
        <w:right w:val="none" w:sz="0" w:space="0" w:color="auto"/>
      </w:divBdr>
    </w:div>
    <w:div w:id="1439833075">
      <w:bodyDiv w:val="1"/>
      <w:marLeft w:val="0"/>
      <w:marRight w:val="0"/>
      <w:marTop w:val="0"/>
      <w:marBottom w:val="0"/>
      <w:divBdr>
        <w:top w:val="none" w:sz="0" w:space="0" w:color="auto"/>
        <w:left w:val="none" w:sz="0" w:space="0" w:color="auto"/>
        <w:bottom w:val="none" w:sz="0" w:space="0" w:color="auto"/>
        <w:right w:val="none" w:sz="0" w:space="0" w:color="auto"/>
      </w:divBdr>
    </w:div>
    <w:div w:id="1460490395">
      <w:bodyDiv w:val="1"/>
      <w:marLeft w:val="0"/>
      <w:marRight w:val="0"/>
      <w:marTop w:val="0"/>
      <w:marBottom w:val="0"/>
      <w:divBdr>
        <w:top w:val="none" w:sz="0" w:space="0" w:color="auto"/>
        <w:left w:val="none" w:sz="0" w:space="0" w:color="auto"/>
        <w:bottom w:val="none" w:sz="0" w:space="0" w:color="auto"/>
        <w:right w:val="none" w:sz="0" w:space="0" w:color="auto"/>
      </w:divBdr>
    </w:div>
    <w:div w:id="1687243535">
      <w:bodyDiv w:val="1"/>
      <w:marLeft w:val="0"/>
      <w:marRight w:val="0"/>
      <w:marTop w:val="0"/>
      <w:marBottom w:val="0"/>
      <w:divBdr>
        <w:top w:val="none" w:sz="0" w:space="0" w:color="auto"/>
        <w:left w:val="none" w:sz="0" w:space="0" w:color="auto"/>
        <w:bottom w:val="none" w:sz="0" w:space="0" w:color="auto"/>
        <w:right w:val="none" w:sz="0" w:space="0" w:color="auto"/>
      </w:divBdr>
    </w:div>
    <w:div w:id="1765105822">
      <w:bodyDiv w:val="1"/>
      <w:marLeft w:val="0"/>
      <w:marRight w:val="0"/>
      <w:marTop w:val="0"/>
      <w:marBottom w:val="0"/>
      <w:divBdr>
        <w:top w:val="none" w:sz="0" w:space="0" w:color="auto"/>
        <w:left w:val="none" w:sz="0" w:space="0" w:color="auto"/>
        <w:bottom w:val="none" w:sz="0" w:space="0" w:color="auto"/>
        <w:right w:val="none" w:sz="0" w:space="0" w:color="auto"/>
      </w:divBdr>
    </w:div>
    <w:div w:id="1868329835">
      <w:bodyDiv w:val="1"/>
      <w:marLeft w:val="0"/>
      <w:marRight w:val="0"/>
      <w:marTop w:val="0"/>
      <w:marBottom w:val="0"/>
      <w:divBdr>
        <w:top w:val="none" w:sz="0" w:space="0" w:color="auto"/>
        <w:left w:val="none" w:sz="0" w:space="0" w:color="auto"/>
        <w:bottom w:val="none" w:sz="0" w:space="0" w:color="auto"/>
        <w:right w:val="none" w:sz="0" w:space="0" w:color="auto"/>
      </w:divBdr>
    </w:div>
    <w:div w:id="2006853514">
      <w:bodyDiv w:val="1"/>
      <w:marLeft w:val="0"/>
      <w:marRight w:val="0"/>
      <w:marTop w:val="0"/>
      <w:marBottom w:val="0"/>
      <w:divBdr>
        <w:top w:val="none" w:sz="0" w:space="0" w:color="auto"/>
        <w:left w:val="none" w:sz="0" w:space="0" w:color="auto"/>
        <w:bottom w:val="none" w:sz="0" w:space="0" w:color="auto"/>
        <w:right w:val="none" w:sz="0" w:space="0" w:color="auto"/>
      </w:divBdr>
    </w:div>
    <w:div w:id="20255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B0106"/>
    <w:rsid w:val="001E28A7"/>
    <w:rsid w:val="00377F28"/>
    <w:rsid w:val="006A6147"/>
    <w:rsid w:val="00703D3B"/>
    <w:rsid w:val="00842DA7"/>
    <w:rsid w:val="00926464"/>
    <w:rsid w:val="009772D5"/>
    <w:rsid w:val="009C71F2"/>
    <w:rsid w:val="00A06BB5"/>
    <w:rsid w:val="00A64D19"/>
    <w:rsid w:val="00B5612F"/>
    <w:rsid w:val="00B667F8"/>
    <w:rsid w:val="00D403BB"/>
    <w:rsid w:val="00DF706E"/>
    <w:rsid w:val="00E2791F"/>
    <w:rsid w:val="00E81338"/>
    <w:rsid w:val="00EB781D"/>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844EC-411D-46AF-987B-E4FC9B4A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Pages>
  <Words>3546</Words>
  <Characters>20216</Characters>
  <Application>Microsoft Office Word</Application>
  <DocSecurity>8</DocSecurity>
  <Lines>168</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false</vt:lpstr>
      <vt:lpstr>false</vt:lpstr>
    </vt:vector>
  </TitlesOfParts>
  <Company/>
  <LinksUpToDate>false</LinksUpToDate>
  <CharactersWithSpaces>23715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
  <dc:creator>false</dc:creator>
  <cp:keywords>false</cp:keywords>
  <dc:description/>
  <cp:lastModifiedBy>Nika</cp:lastModifiedBy>
  <cp:revision>13</cp:revision>
  <cp:lastPrinted>2024-07-02T11:59:00Z</cp:lastPrinted>
  <dcterms:created xsi:type="dcterms:W3CDTF">2024-06-30T14:09:00Z</dcterms:created>
  <dcterms:modified xsi:type="dcterms:W3CDTF">2024-08-02T13:47:00Z</dcterms:modified>
</cp:coreProperties>
</file>