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E4774" w14:textId="107CF749" w:rsidR="00300417" w:rsidRPr="007971BD" w:rsidRDefault="00300417" w:rsidP="000468BD">
      <w:pPr>
        <w:pStyle w:val="Heading1"/>
        <w:jc w:val="center"/>
        <w:rPr>
          <w:rFonts w:ascii="Sylfaen" w:hAnsi="Sylfaen"/>
          <w:b/>
          <w:bCs/>
          <w:color w:val="auto"/>
          <w:sz w:val="24"/>
          <w:szCs w:val="24"/>
          <w:lang w:val="ka-GE"/>
        </w:rPr>
      </w:pPr>
      <w:r w:rsidRPr="007971BD">
        <w:rPr>
          <w:rFonts w:ascii="Sylfaen" w:hAnsi="Sylfaen"/>
          <w:b/>
          <w:bCs/>
          <w:color w:val="auto"/>
          <w:sz w:val="24"/>
          <w:szCs w:val="24"/>
          <w:lang w:val="ka-GE"/>
        </w:rPr>
        <w:t>საქართველოს საკონსტიტუციო სასამართლოს წევრის ევა გოცირიძის</w:t>
      </w:r>
      <w:r w:rsidR="00357F4D" w:rsidRPr="007971BD">
        <w:rPr>
          <w:rFonts w:ascii="Sylfaen" w:hAnsi="Sylfaen"/>
          <w:b/>
          <w:bCs/>
          <w:color w:val="auto"/>
          <w:sz w:val="24"/>
          <w:szCs w:val="24"/>
          <w:lang w:val="ka-GE"/>
        </w:rPr>
        <w:t xml:space="preserve"> </w:t>
      </w:r>
      <w:r w:rsidRPr="007971BD">
        <w:rPr>
          <w:rFonts w:ascii="Sylfaen" w:hAnsi="Sylfaen"/>
          <w:b/>
          <w:bCs/>
          <w:color w:val="auto"/>
          <w:sz w:val="24"/>
          <w:szCs w:val="24"/>
          <w:lang w:val="ka-GE"/>
        </w:rPr>
        <w:t>თანმხვედრი აზრი</w:t>
      </w:r>
      <w:r w:rsidR="00B93958" w:rsidRPr="007971BD">
        <w:rPr>
          <w:rFonts w:ascii="Sylfaen" w:hAnsi="Sylfaen"/>
          <w:b/>
          <w:bCs/>
          <w:color w:val="auto"/>
          <w:sz w:val="24"/>
          <w:szCs w:val="24"/>
          <w:lang w:val="ka-GE"/>
        </w:rPr>
        <w:t xml:space="preserve"> </w:t>
      </w:r>
      <w:r w:rsidRPr="007971BD">
        <w:rPr>
          <w:rFonts w:ascii="Sylfaen" w:hAnsi="Sylfaen"/>
          <w:b/>
          <w:bCs/>
          <w:color w:val="auto"/>
          <w:sz w:val="24"/>
          <w:szCs w:val="24"/>
          <w:lang w:val="ka-GE"/>
        </w:rPr>
        <w:t xml:space="preserve">საქართველოს საკონსტიტუციო სასამართლოს  2025 წლის 28 მარტის </w:t>
      </w:r>
      <w:r w:rsidRPr="007971BD">
        <w:rPr>
          <w:rFonts w:ascii="Sylfaen" w:hAnsi="Sylfaen" w:cs="Calibri"/>
          <w:b/>
          <w:bCs/>
          <w:color w:val="auto"/>
          <w:sz w:val="24"/>
          <w:szCs w:val="24"/>
          <w:lang w:val="ka-GE"/>
        </w:rPr>
        <w:t>№3/5/</w:t>
      </w:r>
      <w:r w:rsidR="00357F4D" w:rsidRPr="007971BD">
        <w:rPr>
          <w:rFonts w:ascii="Sylfaen" w:hAnsi="Sylfaen" w:cs="Calibri"/>
          <w:b/>
          <w:bCs/>
          <w:color w:val="auto"/>
          <w:sz w:val="24"/>
          <w:szCs w:val="24"/>
          <w:lang w:val="ka-GE"/>
        </w:rPr>
        <w:t>744 გადაწყვეტილებაზე</w:t>
      </w:r>
    </w:p>
    <w:p w14:paraId="6CE822ED" w14:textId="77777777" w:rsidR="00300417" w:rsidRPr="007971BD" w:rsidRDefault="00300417" w:rsidP="007847FD">
      <w:pPr>
        <w:ind w:firstLine="284"/>
        <w:jc w:val="both"/>
        <w:rPr>
          <w:rFonts w:ascii="Sylfaen" w:hAnsi="Sylfaen"/>
          <w:sz w:val="24"/>
          <w:szCs w:val="24"/>
          <w:lang w:val="ka-GE"/>
        </w:rPr>
      </w:pPr>
    </w:p>
    <w:p w14:paraId="16AE65EA" w14:textId="0379AC26" w:rsidR="00B93958" w:rsidRPr="002A445F" w:rsidRDefault="00357F4D" w:rsidP="007847FD">
      <w:pPr>
        <w:pStyle w:val="ListParagraph"/>
        <w:numPr>
          <w:ilvl w:val="0"/>
          <w:numId w:val="5"/>
        </w:numPr>
        <w:ind w:left="0" w:firstLine="284"/>
        <w:jc w:val="both"/>
        <w:rPr>
          <w:rFonts w:ascii="Sylfaen" w:hAnsi="Sylfaen"/>
          <w:sz w:val="24"/>
          <w:szCs w:val="24"/>
          <w:lang w:val="ka-GE"/>
        </w:rPr>
      </w:pPr>
      <w:r w:rsidRPr="007971BD">
        <w:rPr>
          <w:rFonts w:ascii="Sylfaen" w:hAnsi="Sylfaen"/>
          <w:sz w:val="24"/>
          <w:szCs w:val="24"/>
          <w:lang w:val="ka-GE"/>
        </w:rPr>
        <w:t>საკონსტიტუციო სასამართლოს პლენუმმა 202</w:t>
      </w:r>
      <w:r w:rsidR="007971BD">
        <w:rPr>
          <w:rFonts w:ascii="Sylfaen" w:hAnsi="Sylfaen"/>
          <w:sz w:val="24"/>
          <w:szCs w:val="24"/>
          <w:lang w:val="ka-GE"/>
        </w:rPr>
        <w:t>5</w:t>
      </w:r>
      <w:r w:rsidRPr="007971BD">
        <w:rPr>
          <w:rFonts w:ascii="Sylfaen" w:hAnsi="Sylfaen"/>
          <w:sz w:val="24"/>
          <w:szCs w:val="24"/>
          <w:lang w:val="ka-GE"/>
        </w:rPr>
        <w:t xml:space="preserve"> წლის 28 მარტის</w:t>
      </w:r>
      <w:r w:rsidR="00B93958" w:rsidRPr="007971BD">
        <w:rPr>
          <w:rFonts w:ascii="Sylfaen" w:hAnsi="Sylfaen"/>
          <w:b/>
          <w:sz w:val="24"/>
          <w:szCs w:val="24"/>
          <w:lang w:val="ka-GE"/>
        </w:rPr>
        <w:t xml:space="preserve"> </w:t>
      </w:r>
      <w:r w:rsidR="00B93958" w:rsidRPr="007971BD">
        <w:rPr>
          <w:rFonts w:ascii="Sylfaen" w:hAnsi="Sylfaen" w:cs="Calibri"/>
          <w:bCs/>
          <w:sz w:val="24"/>
          <w:szCs w:val="24"/>
          <w:lang w:val="ka-GE"/>
        </w:rPr>
        <w:t>№3/5/744</w:t>
      </w:r>
      <w:r w:rsidR="00B93958" w:rsidRPr="007971BD">
        <w:rPr>
          <w:rFonts w:ascii="Sylfaen" w:hAnsi="Sylfaen" w:cs="Calibri"/>
          <w:b/>
          <w:sz w:val="24"/>
          <w:szCs w:val="24"/>
          <w:lang w:val="ka-GE"/>
        </w:rPr>
        <w:t xml:space="preserve"> </w:t>
      </w:r>
      <w:r w:rsidR="00B93958" w:rsidRPr="007971BD">
        <w:rPr>
          <w:rFonts w:ascii="Sylfaen" w:hAnsi="Sylfaen"/>
          <w:sz w:val="24"/>
          <w:szCs w:val="24"/>
          <w:lang w:val="ka-GE"/>
        </w:rPr>
        <w:t xml:space="preserve"> </w:t>
      </w:r>
      <w:r w:rsidRPr="007971BD">
        <w:rPr>
          <w:rFonts w:ascii="Sylfaen" w:hAnsi="Sylfaen"/>
          <w:sz w:val="24"/>
          <w:szCs w:val="24"/>
          <w:lang w:val="ka-GE"/>
        </w:rPr>
        <w:t xml:space="preserve">გადაწყვეტილებით </w:t>
      </w:r>
      <w:r w:rsidR="00B93958" w:rsidRPr="007971BD">
        <w:rPr>
          <w:rFonts w:ascii="Sylfaen" w:hAnsi="Sylfaen"/>
          <w:sz w:val="24"/>
          <w:szCs w:val="24"/>
          <w:lang w:val="ka-GE"/>
        </w:rPr>
        <w:t xml:space="preserve">(შემდგომში გადაწყვეტილება) </w:t>
      </w:r>
      <w:r w:rsidRPr="007971BD">
        <w:rPr>
          <w:rFonts w:ascii="Sylfaen" w:hAnsi="Sylfaen"/>
          <w:sz w:val="24"/>
          <w:szCs w:val="24"/>
          <w:lang w:val="ka-GE"/>
        </w:rPr>
        <w:t>კონსტიტუციასთან შესაბამისად მიიჩნია კანონის ნორმა, რომლითაც საქართველოს საერთო სასამართლოს მოსამართლეებისათვის სავალდებულო საპენსიო ასაკად განსაზღვრულია 65 წელი, რაც გულისხმობს მათთვის მოსამართლის უფლებამოსილების ავტომატურ შეწყვეტას და მოსამართლედ საქმიანობის გაგრძელების შეუძლებლობას.</w:t>
      </w:r>
      <w:r w:rsidR="00A0635D" w:rsidRPr="007971BD">
        <w:rPr>
          <w:rFonts w:ascii="Sylfaen" w:hAnsi="Sylfaen"/>
          <w:sz w:val="24"/>
          <w:szCs w:val="24"/>
          <w:lang w:val="ka-GE"/>
        </w:rPr>
        <w:t xml:space="preserve"> ამ რეგულაციის </w:t>
      </w:r>
      <w:r w:rsidR="00A0635D" w:rsidRPr="002A445F">
        <w:rPr>
          <w:rFonts w:ascii="Sylfaen" w:hAnsi="Sylfaen"/>
          <w:sz w:val="24"/>
          <w:szCs w:val="24"/>
          <w:lang w:val="ka-GE"/>
        </w:rPr>
        <w:t xml:space="preserve">აშკარად ანტიკონსტიტუციური ბუნება, ვფიქრობ, მართლაც ვერ დადგინდა, თუმცა, </w:t>
      </w:r>
      <w:r w:rsidR="002906BE" w:rsidRPr="002A445F">
        <w:rPr>
          <w:rFonts w:ascii="Sylfaen" w:hAnsi="Sylfaen"/>
          <w:sz w:val="24"/>
          <w:szCs w:val="24"/>
          <w:lang w:val="ka-GE"/>
        </w:rPr>
        <w:t xml:space="preserve">მეორე მხრივ, </w:t>
      </w:r>
      <w:r w:rsidR="00273516" w:rsidRPr="002A445F">
        <w:rPr>
          <w:rFonts w:ascii="Sylfaen" w:hAnsi="Sylfaen"/>
          <w:sz w:val="24"/>
          <w:szCs w:val="24"/>
          <w:lang w:val="ka-GE"/>
        </w:rPr>
        <w:t>გამიჭირდა გამეზიარებინა</w:t>
      </w:r>
      <w:r w:rsidR="00A0635D" w:rsidRPr="002A445F">
        <w:rPr>
          <w:rFonts w:ascii="Sylfaen" w:hAnsi="Sylfaen"/>
          <w:sz w:val="24"/>
          <w:szCs w:val="24"/>
          <w:lang w:val="ka-GE"/>
        </w:rPr>
        <w:t xml:space="preserve"> </w:t>
      </w:r>
      <w:r w:rsidR="002906BE" w:rsidRPr="002A445F">
        <w:rPr>
          <w:rFonts w:ascii="Sylfaen" w:hAnsi="Sylfaen"/>
          <w:sz w:val="24"/>
          <w:szCs w:val="24"/>
          <w:lang w:val="ka-GE"/>
        </w:rPr>
        <w:t xml:space="preserve">მისი კონსტიტუციურობის დასამოწმებლად </w:t>
      </w:r>
      <w:r w:rsidR="00273516" w:rsidRPr="002A445F">
        <w:rPr>
          <w:rFonts w:ascii="Sylfaen" w:hAnsi="Sylfaen"/>
          <w:sz w:val="24"/>
          <w:szCs w:val="24"/>
          <w:lang w:val="ka-GE"/>
        </w:rPr>
        <w:t xml:space="preserve">გადაწყვეტილებაში </w:t>
      </w:r>
      <w:r w:rsidR="002906BE" w:rsidRPr="002A445F">
        <w:rPr>
          <w:rFonts w:ascii="Sylfaen" w:hAnsi="Sylfaen"/>
          <w:sz w:val="24"/>
          <w:szCs w:val="24"/>
          <w:lang w:val="ka-GE"/>
        </w:rPr>
        <w:t xml:space="preserve">მოყვანილ  </w:t>
      </w:r>
      <w:r w:rsidR="00A0635D" w:rsidRPr="002A445F">
        <w:rPr>
          <w:rFonts w:ascii="Sylfaen" w:hAnsi="Sylfaen"/>
          <w:sz w:val="24"/>
          <w:szCs w:val="24"/>
          <w:lang w:val="ka-GE"/>
        </w:rPr>
        <w:t>არგუმენტ</w:t>
      </w:r>
      <w:r w:rsidR="002033C7" w:rsidRPr="002A445F">
        <w:rPr>
          <w:rFonts w:ascii="Sylfaen" w:hAnsi="Sylfaen"/>
          <w:sz w:val="24"/>
          <w:szCs w:val="24"/>
          <w:lang w:val="ka-GE"/>
        </w:rPr>
        <w:t xml:space="preserve">თა </w:t>
      </w:r>
      <w:r w:rsidR="00C65849" w:rsidRPr="002A445F">
        <w:rPr>
          <w:rFonts w:ascii="Sylfaen" w:hAnsi="Sylfaen"/>
          <w:sz w:val="24"/>
          <w:szCs w:val="24"/>
          <w:lang w:val="ka-GE"/>
        </w:rPr>
        <w:t>უმრავ</w:t>
      </w:r>
      <w:bookmarkStart w:id="0" w:name="_GoBack"/>
      <w:bookmarkEnd w:id="0"/>
      <w:r w:rsidR="00C65849" w:rsidRPr="002A445F">
        <w:rPr>
          <w:rFonts w:ascii="Sylfaen" w:hAnsi="Sylfaen"/>
          <w:sz w:val="24"/>
          <w:szCs w:val="24"/>
          <w:lang w:val="ka-GE"/>
        </w:rPr>
        <w:t>ლესობა</w:t>
      </w:r>
      <w:r w:rsidR="002906BE" w:rsidRPr="002A445F">
        <w:rPr>
          <w:rFonts w:ascii="Sylfaen" w:hAnsi="Sylfaen"/>
          <w:sz w:val="24"/>
          <w:szCs w:val="24"/>
          <w:lang w:val="ka-GE"/>
        </w:rPr>
        <w:t xml:space="preserve">, </w:t>
      </w:r>
      <w:r w:rsidR="00273516" w:rsidRPr="002A445F">
        <w:rPr>
          <w:rFonts w:ascii="Sylfaen" w:hAnsi="Sylfaen"/>
          <w:sz w:val="24"/>
          <w:szCs w:val="24"/>
          <w:lang w:val="ka-GE"/>
        </w:rPr>
        <w:t xml:space="preserve">მიუხედავად ჩემი კოლეგებისა და მათი მოსაზრებებისადმი </w:t>
      </w:r>
      <w:r w:rsidR="005879FE" w:rsidRPr="002A445F">
        <w:rPr>
          <w:rFonts w:ascii="Sylfaen" w:hAnsi="Sylfaen"/>
          <w:sz w:val="24"/>
          <w:szCs w:val="24"/>
          <w:lang w:val="ka-GE"/>
        </w:rPr>
        <w:t>ღრმა</w:t>
      </w:r>
      <w:r w:rsidR="00273516" w:rsidRPr="002A445F">
        <w:rPr>
          <w:rFonts w:ascii="Sylfaen" w:hAnsi="Sylfaen"/>
          <w:sz w:val="24"/>
          <w:szCs w:val="24"/>
          <w:lang w:val="ka-GE"/>
        </w:rPr>
        <w:t xml:space="preserve"> პატივისცემისა.  </w:t>
      </w:r>
    </w:p>
    <w:p w14:paraId="0B0264F6" w14:textId="658721F3" w:rsidR="007D48DD" w:rsidRDefault="002033C7" w:rsidP="007847FD">
      <w:pPr>
        <w:pStyle w:val="ListParagraph"/>
        <w:numPr>
          <w:ilvl w:val="0"/>
          <w:numId w:val="5"/>
        </w:numPr>
        <w:spacing w:after="0"/>
        <w:ind w:left="0" w:firstLine="284"/>
        <w:jc w:val="both"/>
        <w:rPr>
          <w:rFonts w:ascii="Sylfaen" w:hAnsi="Sylfaen"/>
          <w:sz w:val="24"/>
          <w:szCs w:val="24"/>
          <w:lang w:val="ka-GE"/>
        </w:rPr>
      </w:pPr>
      <w:r w:rsidRPr="002A445F">
        <w:rPr>
          <w:rFonts w:ascii="Sylfaen" w:hAnsi="Sylfaen"/>
          <w:sz w:val="24"/>
          <w:szCs w:val="24"/>
          <w:lang w:val="ka-GE"/>
        </w:rPr>
        <w:t xml:space="preserve">თავიდანვე განვმარტავ, რომ </w:t>
      </w:r>
      <w:r w:rsidR="00C65849" w:rsidRPr="002A445F">
        <w:rPr>
          <w:rFonts w:ascii="Sylfaen" w:hAnsi="Sylfaen"/>
          <w:sz w:val="24"/>
          <w:szCs w:val="24"/>
          <w:lang w:val="ka-GE"/>
        </w:rPr>
        <w:t>საპენსიო ასაკის განსაზღვრის</w:t>
      </w:r>
      <w:r w:rsidRPr="002A445F">
        <w:rPr>
          <w:rFonts w:ascii="Sylfaen" w:hAnsi="Sylfaen"/>
          <w:sz w:val="24"/>
          <w:szCs w:val="24"/>
          <w:lang w:val="ka-GE"/>
        </w:rPr>
        <w:t xml:space="preserve"> სფეროში საერთაშორისო ხელშ</w:t>
      </w:r>
      <w:r w:rsidR="000B15A1" w:rsidRPr="002A445F">
        <w:rPr>
          <w:rFonts w:ascii="Sylfaen" w:hAnsi="Sylfaen"/>
          <w:sz w:val="24"/>
          <w:szCs w:val="24"/>
          <w:lang w:val="ka-GE"/>
        </w:rPr>
        <w:t>ე</w:t>
      </w:r>
      <w:r w:rsidRPr="002A445F">
        <w:rPr>
          <w:rFonts w:ascii="Sylfaen" w:hAnsi="Sylfaen"/>
          <w:sz w:val="24"/>
          <w:szCs w:val="24"/>
          <w:lang w:val="ka-GE"/>
        </w:rPr>
        <w:t>კრულებებით ნაგულისხმები ეროვნული მიხედულ</w:t>
      </w:r>
      <w:r w:rsidR="00CA7226" w:rsidRPr="002A445F">
        <w:rPr>
          <w:rFonts w:ascii="Sylfaen" w:hAnsi="Sylfaen"/>
          <w:sz w:val="24"/>
          <w:szCs w:val="24"/>
          <w:lang w:val="ka-GE"/>
        </w:rPr>
        <w:t>ო</w:t>
      </w:r>
      <w:r w:rsidRPr="002A445F">
        <w:rPr>
          <w:rFonts w:ascii="Sylfaen" w:hAnsi="Sylfaen"/>
          <w:sz w:val="24"/>
          <w:szCs w:val="24"/>
          <w:lang w:val="ka-GE"/>
        </w:rPr>
        <w:t xml:space="preserve">ბის ფარგლები ფართოა და, მთლიანობაში, ვიზიარებ სასამართლოს </w:t>
      </w:r>
      <w:r w:rsidR="00C65849" w:rsidRPr="002A445F">
        <w:rPr>
          <w:rFonts w:ascii="Sylfaen" w:hAnsi="Sylfaen"/>
          <w:sz w:val="24"/>
          <w:szCs w:val="24"/>
          <w:lang w:val="ka-GE"/>
        </w:rPr>
        <w:t xml:space="preserve">საერთო </w:t>
      </w:r>
      <w:r w:rsidRPr="002A445F">
        <w:rPr>
          <w:rFonts w:ascii="Sylfaen" w:hAnsi="Sylfaen"/>
          <w:sz w:val="24"/>
          <w:szCs w:val="24"/>
          <w:lang w:val="ka-GE"/>
        </w:rPr>
        <w:t xml:space="preserve">მიდგომას, რომ სახელმწიფოს მიერ მოსამართლეთათვის განსაზღვრული საპენსიო ასაკი მხოლოდ მაშინ შეიძლება იყოს არაკონსტიტუციური, თუკი ის არ ემყარება </w:t>
      </w:r>
      <w:r w:rsidR="000B15A1" w:rsidRPr="002A445F">
        <w:rPr>
          <w:rFonts w:ascii="Sylfaen" w:hAnsi="Sylfaen"/>
          <w:sz w:val="24"/>
          <w:szCs w:val="24"/>
          <w:lang w:val="ka-GE"/>
        </w:rPr>
        <w:t xml:space="preserve">საკმარისად </w:t>
      </w:r>
      <w:r w:rsidRPr="002A445F">
        <w:rPr>
          <w:rFonts w:ascii="Sylfaen" w:hAnsi="Sylfaen"/>
          <w:sz w:val="24"/>
          <w:szCs w:val="24"/>
          <w:lang w:val="ka-GE"/>
        </w:rPr>
        <w:t>გონივრულ და რაციონალურ</w:t>
      </w:r>
      <w:r w:rsidRPr="007971BD">
        <w:rPr>
          <w:rFonts w:ascii="Sylfaen" w:hAnsi="Sylfaen"/>
          <w:sz w:val="24"/>
          <w:szCs w:val="24"/>
          <w:lang w:val="ka-GE"/>
        </w:rPr>
        <w:t xml:space="preserve"> საფუძველს</w:t>
      </w:r>
      <w:r w:rsidR="00E27754" w:rsidRPr="007971BD">
        <w:rPr>
          <w:rFonts w:ascii="Sylfaen" w:hAnsi="Sylfaen"/>
          <w:sz w:val="24"/>
          <w:szCs w:val="24"/>
          <w:lang w:val="ka-GE"/>
        </w:rPr>
        <w:t xml:space="preserve">; რომ საერთოდ, </w:t>
      </w:r>
      <w:r w:rsidR="00273516" w:rsidRPr="007971BD">
        <w:rPr>
          <w:rFonts w:ascii="Sylfaen" w:hAnsi="Sylfaen"/>
          <w:sz w:val="24"/>
          <w:szCs w:val="24"/>
          <w:lang w:val="ka-GE"/>
        </w:rPr>
        <w:t xml:space="preserve"> </w:t>
      </w:r>
      <w:r w:rsidR="00E27754" w:rsidRPr="007971BD">
        <w:rPr>
          <w:rFonts w:ascii="Sylfaen" w:hAnsi="Sylfaen"/>
          <w:sz w:val="24"/>
          <w:szCs w:val="24"/>
          <w:lang w:val="ka-GE"/>
        </w:rPr>
        <w:t>მიჩნეულ უნდა იქნეს, რომ სახელმწიფო მოქმედებს თავისი მიხედულ</w:t>
      </w:r>
      <w:r w:rsidR="00CA7226">
        <w:rPr>
          <w:rFonts w:ascii="Sylfaen" w:hAnsi="Sylfaen"/>
          <w:sz w:val="24"/>
          <w:szCs w:val="24"/>
          <w:lang w:val="ka-GE"/>
        </w:rPr>
        <w:t>ო</w:t>
      </w:r>
      <w:r w:rsidR="00E27754" w:rsidRPr="007971BD">
        <w:rPr>
          <w:rFonts w:ascii="Sylfaen" w:hAnsi="Sylfaen"/>
          <w:sz w:val="24"/>
          <w:szCs w:val="24"/>
          <w:lang w:val="ka-GE"/>
        </w:rPr>
        <w:t>ბის ფარგლებში, სანამ მის მიერ განსაზღვრული საპენსიო ასაკი არ იქნება არაგონივრული (</w:t>
      </w:r>
      <w:r w:rsidR="00FE09E3">
        <w:rPr>
          <w:rFonts w:ascii="Sylfaen" w:hAnsi="Sylfaen"/>
          <w:sz w:val="24"/>
          <w:szCs w:val="24"/>
          <w:lang w:val="ka-GE"/>
        </w:rPr>
        <w:t xml:space="preserve">იხ. სამოტივაციო ნაწილის </w:t>
      </w:r>
      <w:r w:rsidR="00E27754" w:rsidRPr="007971BD">
        <w:rPr>
          <w:rFonts w:ascii="Sylfaen" w:hAnsi="Sylfaen"/>
          <w:sz w:val="24"/>
          <w:szCs w:val="24"/>
          <w:lang w:val="ka-GE"/>
        </w:rPr>
        <w:t>53</w:t>
      </w:r>
      <w:r w:rsidR="00FE09E3">
        <w:rPr>
          <w:rFonts w:ascii="Sylfaen" w:hAnsi="Sylfaen"/>
          <w:sz w:val="24"/>
          <w:szCs w:val="24"/>
          <w:lang w:val="ka-GE"/>
        </w:rPr>
        <w:t>-ე პუნქტი</w:t>
      </w:r>
      <w:r w:rsidR="00E27754" w:rsidRPr="007971BD">
        <w:rPr>
          <w:rFonts w:ascii="Sylfaen" w:hAnsi="Sylfaen"/>
          <w:sz w:val="24"/>
          <w:szCs w:val="24"/>
          <w:lang w:val="ka-GE"/>
        </w:rPr>
        <w:t xml:space="preserve">). </w:t>
      </w:r>
      <w:r w:rsidR="00273516" w:rsidRPr="007971BD">
        <w:rPr>
          <w:rFonts w:ascii="Sylfaen" w:hAnsi="Sylfaen"/>
          <w:sz w:val="24"/>
          <w:szCs w:val="24"/>
          <w:lang w:val="ka-GE"/>
        </w:rPr>
        <w:t>შეზღუდვის</w:t>
      </w:r>
      <w:r w:rsidRPr="007971BD">
        <w:rPr>
          <w:rFonts w:ascii="Sylfaen" w:hAnsi="Sylfaen"/>
          <w:sz w:val="24"/>
          <w:szCs w:val="24"/>
          <w:lang w:val="ka-GE"/>
        </w:rPr>
        <w:t xml:space="preserve"> ერთ-ერთი რელევანტური საფუძველი კიდევაც იქნა დასახელებული </w:t>
      </w:r>
      <w:r w:rsidR="000B15A1" w:rsidRPr="007971BD">
        <w:rPr>
          <w:rFonts w:ascii="Sylfaen" w:hAnsi="Sylfaen"/>
          <w:sz w:val="24"/>
          <w:szCs w:val="24"/>
          <w:lang w:val="ka-GE"/>
        </w:rPr>
        <w:t>გადაწყვეტილებაში,</w:t>
      </w:r>
      <w:r w:rsidRPr="007971BD">
        <w:rPr>
          <w:rFonts w:ascii="Sylfaen" w:hAnsi="Sylfaen"/>
          <w:sz w:val="24"/>
          <w:szCs w:val="24"/>
          <w:lang w:val="ka-GE"/>
        </w:rPr>
        <w:t xml:space="preserve"> კერძოდ, </w:t>
      </w:r>
      <w:r w:rsidR="000B15A1" w:rsidRPr="007971BD">
        <w:rPr>
          <w:rFonts w:ascii="Sylfaen" w:hAnsi="Sylfaen"/>
          <w:sz w:val="24"/>
          <w:szCs w:val="24"/>
          <w:lang w:val="ka-GE"/>
        </w:rPr>
        <w:t xml:space="preserve">ის გარემოება, რომ ე.წ. </w:t>
      </w:r>
      <w:r w:rsidR="0034676C" w:rsidRPr="007971BD">
        <w:rPr>
          <w:rFonts w:ascii="Sylfaen" w:hAnsi="Sylfaen"/>
          <w:sz w:val="24"/>
          <w:szCs w:val="24"/>
          <w:lang w:val="ka-GE"/>
        </w:rPr>
        <w:t>გე</w:t>
      </w:r>
      <w:r w:rsidR="000B15A1" w:rsidRPr="007971BD">
        <w:rPr>
          <w:rFonts w:ascii="Sylfaen" w:hAnsi="Sylfaen"/>
          <w:sz w:val="24"/>
          <w:szCs w:val="24"/>
          <w:lang w:val="ka-GE"/>
        </w:rPr>
        <w:t>რიატრიული ასაკი   სწორედ 65 წლიდან იწყება</w:t>
      </w:r>
      <w:r w:rsidR="006A6183" w:rsidRPr="007971BD">
        <w:rPr>
          <w:rFonts w:ascii="Sylfaen" w:hAnsi="Sylfaen"/>
          <w:sz w:val="24"/>
          <w:szCs w:val="24"/>
          <w:lang w:val="ka-GE"/>
        </w:rPr>
        <w:t>,</w:t>
      </w:r>
      <w:r w:rsidR="000B15A1" w:rsidRPr="007971BD">
        <w:rPr>
          <w:rFonts w:ascii="Sylfaen" w:hAnsi="Sylfaen"/>
          <w:sz w:val="24"/>
          <w:szCs w:val="24"/>
          <w:lang w:val="ka-GE"/>
        </w:rPr>
        <w:t xml:space="preserve"> თუმცა, </w:t>
      </w:r>
      <w:r w:rsidR="006A6183" w:rsidRPr="007971BD">
        <w:rPr>
          <w:rFonts w:ascii="Sylfaen" w:hAnsi="Sylfaen"/>
          <w:sz w:val="24"/>
          <w:szCs w:val="24"/>
          <w:lang w:val="ka-GE"/>
        </w:rPr>
        <w:t xml:space="preserve">ამ საფუძვლის საკმარისობა ეჭვს ბადებს, ვინაიდან </w:t>
      </w:r>
      <w:r w:rsidR="000B15A1" w:rsidRPr="007971BD">
        <w:rPr>
          <w:rFonts w:ascii="Sylfaen" w:hAnsi="Sylfaen"/>
          <w:sz w:val="24"/>
          <w:szCs w:val="24"/>
          <w:lang w:val="ka-GE"/>
        </w:rPr>
        <w:t>გადაწყვეტილებაში მოტანილი სხვა არგუმენტები</w:t>
      </w:r>
      <w:r w:rsidR="00C14A22" w:rsidRPr="007971BD">
        <w:rPr>
          <w:rFonts w:ascii="Sylfaen" w:hAnsi="Sylfaen"/>
          <w:sz w:val="24"/>
          <w:szCs w:val="24"/>
          <w:lang w:val="ka-GE"/>
        </w:rPr>
        <w:t>,</w:t>
      </w:r>
      <w:r w:rsidR="000B15A1" w:rsidRPr="007971BD">
        <w:rPr>
          <w:rFonts w:ascii="Sylfaen" w:hAnsi="Sylfaen"/>
          <w:sz w:val="24"/>
          <w:szCs w:val="24"/>
          <w:lang w:val="ka-GE"/>
        </w:rPr>
        <w:t xml:space="preserve"> </w:t>
      </w:r>
      <w:r w:rsidR="006A6183" w:rsidRPr="007971BD">
        <w:rPr>
          <w:rFonts w:ascii="Sylfaen" w:hAnsi="Sylfaen"/>
          <w:sz w:val="24"/>
          <w:szCs w:val="24"/>
          <w:lang w:val="ka-GE"/>
        </w:rPr>
        <w:t>ჩემი აზრით,</w:t>
      </w:r>
      <w:r w:rsidR="000B15A1" w:rsidRPr="007971BD">
        <w:rPr>
          <w:rFonts w:ascii="Sylfaen" w:hAnsi="Sylfaen"/>
          <w:sz w:val="24"/>
          <w:szCs w:val="24"/>
          <w:lang w:val="ka-GE"/>
        </w:rPr>
        <w:t xml:space="preserve"> მიზანსაცდენილია</w:t>
      </w:r>
      <w:r w:rsidR="00CA4E9B" w:rsidRPr="007971BD">
        <w:rPr>
          <w:rFonts w:ascii="Sylfaen" w:hAnsi="Sylfaen"/>
          <w:sz w:val="24"/>
          <w:szCs w:val="24"/>
          <w:lang w:val="ka-GE"/>
        </w:rPr>
        <w:t xml:space="preserve">, </w:t>
      </w:r>
      <w:r w:rsidR="006A6183" w:rsidRPr="007971BD">
        <w:rPr>
          <w:rFonts w:ascii="Sylfaen" w:hAnsi="Sylfaen"/>
          <w:sz w:val="24"/>
          <w:szCs w:val="24"/>
          <w:lang w:val="ka-GE"/>
        </w:rPr>
        <w:t xml:space="preserve">ზოგჯერ </w:t>
      </w:r>
      <w:r w:rsidR="00CA4E9B" w:rsidRPr="007971BD">
        <w:rPr>
          <w:rFonts w:ascii="Sylfaen" w:hAnsi="Sylfaen"/>
          <w:sz w:val="24"/>
          <w:szCs w:val="24"/>
          <w:lang w:val="ka-GE"/>
        </w:rPr>
        <w:t>წინააღმდეგობრივი</w:t>
      </w:r>
      <w:r w:rsidR="00FE09E3">
        <w:rPr>
          <w:rFonts w:ascii="Sylfaen" w:hAnsi="Sylfaen"/>
          <w:sz w:val="24"/>
          <w:szCs w:val="24"/>
          <w:lang w:val="ka-GE"/>
        </w:rPr>
        <w:t>ც</w:t>
      </w:r>
      <w:r w:rsidR="00CA4E9B" w:rsidRPr="007971BD">
        <w:rPr>
          <w:rFonts w:ascii="Sylfaen" w:hAnsi="Sylfaen"/>
          <w:sz w:val="24"/>
          <w:szCs w:val="24"/>
          <w:lang w:val="ka-GE"/>
        </w:rPr>
        <w:t xml:space="preserve">, რის გამოც, </w:t>
      </w:r>
      <w:r w:rsidR="00C14A22" w:rsidRPr="007971BD">
        <w:rPr>
          <w:rFonts w:ascii="Sylfaen" w:hAnsi="Sylfaen"/>
          <w:sz w:val="24"/>
          <w:szCs w:val="24"/>
          <w:lang w:val="ka-GE"/>
        </w:rPr>
        <w:t xml:space="preserve"> არათუ არ არის საკმარისად  დამარწმუნებელი, არამედ, პირიქით,  დამატებით კითხვებს ბადებს, რომლები</w:t>
      </w:r>
      <w:r w:rsidR="0020510A" w:rsidRPr="007971BD">
        <w:rPr>
          <w:rFonts w:ascii="Sylfaen" w:hAnsi="Sylfaen"/>
          <w:sz w:val="24"/>
          <w:szCs w:val="24"/>
          <w:lang w:val="ka-GE"/>
        </w:rPr>
        <w:t>ც</w:t>
      </w:r>
      <w:r w:rsidR="00C14A22" w:rsidRPr="007971BD">
        <w:rPr>
          <w:rFonts w:ascii="Sylfaen" w:hAnsi="Sylfaen"/>
          <w:sz w:val="24"/>
          <w:szCs w:val="24"/>
          <w:lang w:val="ka-GE"/>
        </w:rPr>
        <w:t xml:space="preserve"> პასუხს მოითხოვს.</w:t>
      </w:r>
      <w:r w:rsidR="00FE09E3">
        <w:rPr>
          <w:rFonts w:ascii="Sylfaen" w:hAnsi="Sylfaen"/>
          <w:sz w:val="24"/>
          <w:szCs w:val="24"/>
          <w:lang w:val="ka-GE"/>
        </w:rPr>
        <w:t xml:space="preserve"> </w:t>
      </w:r>
      <w:r w:rsidR="0020510A" w:rsidRPr="007971BD">
        <w:rPr>
          <w:rFonts w:ascii="Sylfaen" w:hAnsi="Sylfaen"/>
          <w:sz w:val="24"/>
          <w:szCs w:val="24"/>
          <w:lang w:val="ka-GE"/>
        </w:rPr>
        <w:t>მაქვს საერთო ხასიათის შენიშვნებიც. მაგალითად, საერთოდ არ არის</w:t>
      </w:r>
      <w:r w:rsidR="00273516" w:rsidRPr="007971BD">
        <w:rPr>
          <w:rFonts w:ascii="Sylfaen" w:hAnsi="Sylfaen"/>
          <w:sz w:val="24"/>
          <w:szCs w:val="24"/>
          <w:lang w:val="ka-GE"/>
        </w:rPr>
        <w:t xml:space="preserve"> განხილული</w:t>
      </w:r>
      <w:r w:rsidR="0020510A" w:rsidRPr="007971BD">
        <w:rPr>
          <w:rFonts w:ascii="Sylfaen" w:hAnsi="Sylfaen"/>
          <w:sz w:val="24"/>
          <w:szCs w:val="24"/>
          <w:lang w:val="ka-GE"/>
        </w:rPr>
        <w:t xml:space="preserve"> </w:t>
      </w:r>
      <w:r w:rsidR="006A6183" w:rsidRPr="007971BD">
        <w:rPr>
          <w:rFonts w:ascii="Sylfaen" w:hAnsi="Sylfaen"/>
          <w:sz w:val="24"/>
          <w:szCs w:val="24"/>
          <w:lang w:val="ka-GE"/>
        </w:rPr>
        <w:t xml:space="preserve">შესაბამისი შიდა სამართლებრივი ინტერიერი, </w:t>
      </w:r>
      <w:r w:rsidR="006C2DD1" w:rsidRPr="007971BD">
        <w:rPr>
          <w:rFonts w:ascii="Sylfaen" w:hAnsi="Sylfaen"/>
          <w:sz w:val="24"/>
          <w:szCs w:val="24"/>
          <w:lang w:val="ka-GE"/>
        </w:rPr>
        <w:t xml:space="preserve">ანუ, </w:t>
      </w:r>
      <w:r w:rsidR="00273516" w:rsidRPr="007971BD">
        <w:rPr>
          <w:rFonts w:ascii="Sylfaen" w:hAnsi="Sylfaen"/>
          <w:sz w:val="24"/>
          <w:szCs w:val="24"/>
          <w:lang w:val="ka-GE"/>
        </w:rPr>
        <w:t>საჯარო სამსახურის ფართო კონტექსტი სავალდებულო საპენსიო ასაკის სფეროში</w:t>
      </w:r>
      <w:r w:rsidR="006A6183" w:rsidRPr="007971BD">
        <w:rPr>
          <w:rFonts w:ascii="Sylfaen" w:hAnsi="Sylfaen"/>
          <w:sz w:val="24"/>
          <w:szCs w:val="24"/>
          <w:lang w:val="ka-GE"/>
        </w:rPr>
        <w:t xml:space="preserve">, </w:t>
      </w:r>
      <w:r w:rsidR="00273516" w:rsidRPr="007971BD">
        <w:rPr>
          <w:rFonts w:ascii="Sylfaen" w:hAnsi="Sylfaen"/>
          <w:sz w:val="24"/>
          <w:szCs w:val="24"/>
          <w:lang w:val="ka-GE"/>
        </w:rPr>
        <w:t>ისევე როგორც,</w:t>
      </w:r>
      <w:r w:rsidR="0020510A" w:rsidRPr="007971BD">
        <w:rPr>
          <w:rFonts w:ascii="Sylfaen" w:hAnsi="Sylfaen"/>
          <w:sz w:val="24"/>
          <w:szCs w:val="24"/>
          <w:lang w:val="ka-GE"/>
        </w:rPr>
        <w:t xml:space="preserve"> </w:t>
      </w:r>
      <w:r w:rsidR="00273516" w:rsidRPr="007971BD">
        <w:rPr>
          <w:rFonts w:ascii="Sylfaen" w:hAnsi="Sylfaen"/>
          <w:sz w:val="24"/>
          <w:szCs w:val="24"/>
          <w:lang w:val="ka-GE"/>
        </w:rPr>
        <w:t xml:space="preserve">რელევანტური </w:t>
      </w:r>
      <w:r w:rsidR="0020510A" w:rsidRPr="007971BD">
        <w:rPr>
          <w:rFonts w:ascii="Sylfaen" w:hAnsi="Sylfaen"/>
          <w:sz w:val="24"/>
          <w:szCs w:val="24"/>
          <w:lang w:val="ka-GE"/>
        </w:rPr>
        <w:t xml:space="preserve">საერთაშორისო პრაქტიკა </w:t>
      </w:r>
      <w:r w:rsidR="006C2DD1" w:rsidRPr="007971BD">
        <w:rPr>
          <w:rFonts w:ascii="Sylfaen" w:hAnsi="Sylfaen"/>
          <w:sz w:val="24"/>
          <w:szCs w:val="24"/>
          <w:lang w:val="ka-GE"/>
        </w:rPr>
        <w:t>სავალდებულო საპენსიო ასაკის</w:t>
      </w:r>
      <w:r w:rsidR="00273516" w:rsidRPr="007971BD">
        <w:rPr>
          <w:rFonts w:ascii="Sylfaen" w:hAnsi="Sylfaen"/>
          <w:sz w:val="24"/>
          <w:szCs w:val="24"/>
          <w:lang w:val="ka-GE"/>
        </w:rPr>
        <w:t xml:space="preserve"> გონივრულობისა და გამართლებულობის </w:t>
      </w:r>
      <w:r w:rsidR="00C3488F" w:rsidRPr="007971BD">
        <w:rPr>
          <w:rFonts w:ascii="Sylfaen" w:hAnsi="Sylfaen"/>
          <w:sz w:val="24"/>
          <w:szCs w:val="24"/>
          <w:lang w:val="ka-GE"/>
        </w:rPr>
        <w:t xml:space="preserve">შეფასებისას. გარდა ამისა, ვფიქრობ, </w:t>
      </w:r>
      <w:r w:rsidR="0020510A" w:rsidRPr="007971BD">
        <w:rPr>
          <w:rFonts w:ascii="Sylfaen" w:hAnsi="Sylfaen"/>
          <w:sz w:val="24"/>
          <w:szCs w:val="24"/>
          <w:lang w:val="ka-GE"/>
        </w:rPr>
        <w:t>უგულებელყოფილია ზოგიერთი საგულისხმო სამართლებრივი მოცემულობა</w:t>
      </w:r>
      <w:r w:rsidR="00C3488F" w:rsidRPr="007971BD">
        <w:rPr>
          <w:rFonts w:ascii="Sylfaen" w:hAnsi="Sylfaen"/>
          <w:sz w:val="24"/>
          <w:szCs w:val="24"/>
          <w:lang w:val="ka-GE"/>
        </w:rPr>
        <w:t>, ხოლო</w:t>
      </w:r>
      <w:r w:rsidR="0020510A" w:rsidRPr="007971BD">
        <w:rPr>
          <w:rFonts w:ascii="Sylfaen" w:hAnsi="Sylfaen"/>
          <w:sz w:val="24"/>
          <w:szCs w:val="24"/>
          <w:lang w:val="ka-GE"/>
        </w:rPr>
        <w:t xml:space="preserve"> დასაბუთების </w:t>
      </w:r>
      <w:r w:rsidR="00C3488F" w:rsidRPr="007971BD">
        <w:rPr>
          <w:rFonts w:ascii="Sylfaen" w:hAnsi="Sylfaen"/>
          <w:sz w:val="24"/>
          <w:szCs w:val="24"/>
          <w:lang w:val="ka-GE"/>
        </w:rPr>
        <w:t>სქემები</w:t>
      </w:r>
      <w:r w:rsidR="0020510A" w:rsidRPr="007971BD">
        <w:rPr>
          <w:rFonts w:ascii="Sylfaen" w:hAnsi="Sylfaen"/>
          <w:sz w:val="24"/>
          <w:szCs w:val="24"/>
          <w:lang w:val="ka-GE"/>
        </w:rPr>
        <w:t xml:space="preserve"> </w:t>
      </w:r>
      <w:r w:rsidR="00CA4E9B" w:rsidRPr="007971BD">
        <w:rPr>
          <w:rFonts w:ascii="Sylfaen" w:hAnsi="Sylfaen"/>
          <w:sz w:val="24"/>
          <w:szCs w:val="24"/>
          <w:lang w:val="ka-GE"/>
        </w:rPr>
        <w:t xml:space="preserve">და არგუმენტები </w:t>
      </w:r>
      <w:r w:rsidR="0020510A" w:rsidRPr="007971BD">
        <w:rPr>
          <w:rFonts w:ascii="Sylfaen" w:hAnsi="Sylfaen"/>
          <w:sz w:val="24"/>
          <w:szCs w:val="24"/>
          <w:lang w:val="ka-GE"/>
        </w:rPr>
        <w:t>თანასწორობის</w:t>
      </w:r>
      <w:r w:rsidR="00C3488F" w:rsidRPr="007971BD">
        <w:rPr>
          <w:rFonts w:ascii="Sylfaen" w:hAnsi="Sylfaen"/>
          <w:sz w:val="24"/>
          <w:szCs w:val="24"/>
          <w:lang w:val="ka-GE"/>
        </w:rPr>
        <w:t xml:space="preserve"> </w:t>
      </w:r>
      <w:r w:rsidR="00CA4E9B" w:rsidRPr="007971BD">
        <w:rPr>
          <w:rFonts w:ascii="Sylfaen" w:hAnsi="Sylfaen"/>
          <w:sz w:val="24"/>
          <w:szCs w:val="24"/>
          <w:lang w:val="ka-GE"/>
        </w:rPr>
        <w:t xml:space="preserve"> (კონსტიტუციის მ</w:t>
      </w:r>
      <w:r w:rsidR="00B93958" w:rsidRPr="007971BD">
        <w:rPr>
          <w:rFonts w:ascii="Sylfaen" w:hAnsi="Sylfaen"/>
          <w:sz w:val="24"/>
          <w:szCs w:val="24"/>
          <w:lang w:val="ka-GE"/>
        </w:rPr>
        <w:t>ე</w:t>
      </w:r>
      <w:r w:rsidR="00CA4E9B" w:rsidRPr="007971BD">
        <w:rPr>
          <w:rFonts w:ascii="Sylfaen" w:hAnsi="Sylfaen"/>
          <w:sz w:val="24"/>
          <w:szCs w:val="24"/>
          <w:lang w:val="ka-GE"/>
        </w:rPr>
        <w:t xml:space="preserve">-11 მუხლის მუხლის </w:t>
      </w:r>
      <w:r w:rsidR="00B93958" w:rsidRPr="007971BD">
        <w:rPr>
          <w:rFonts w:ascii="Sylfaen" w:hAnsi="Sylfaen"/>
          <w:sz w:val="24"/>
          <w:szCs w:val="24"/>
          <w:lang w:val="ka-GE"/>
        </w:rPr>
        <w:t>პირვე</w:t>
      </w:r>
      <w:r w:rsidR="00CA4E9B" w:rsidRPr="007971BD">
        <w:rPr>
          <w:rFonts w:ascii="Sylfaen" w:hAnsi="Sylfaen"/>
          <w:sz w:val="24"/>
          <w:szCs w:val="24"/>
          <w:lang w:val="ka-GE"/>
        </w:rPr>
        <w:t xml:space="preserve">ლი პუნქტი) </w:t>
      </w:r>
      <w:r w:rsidR="00C3488F" w:rsidRPr="007971BD">
        <w:rPr>
          <w:rFonts w:ascii="Sylfaen" w:hAnsi="Sylfaen"/>
          <w:sz w:val="24"/>
          <w:szCs w:val="24"/>
          <w:lang w:val="ka-GE"/>
        </w:rPr>
        <w:t xml:space="preserve">და </w:t>
      </w:r>
      <w:r w:rsidR="0020510A" w:rsidRPr="007971BD">
        <w:rPr>
          <w:rFonts w:ascii="Sylfaen" w:hAnsi="Sylfaen"/>
          <w:sz w:val="24"/>
          <w:szCs w:val="24"/>
          <w:lang w:val="ka-GE"/>
        </w:rPr>
        <w:t xml:space="preserve"> </w:t>
      </w:r>
      <w:r w:rsidR="00C3488F" w:rsidRPr="007971BD">
        <w:rPr>
          <w:rFonts w:ascii="Sylfaen" w:hAnsi="Sylfaen"/>
          <w:sz w:val="24"/>
          <w:szCs w:val="24"/>
          <w:lang w:val="ka-GE"/>
        </w:rPr>
        <w:t xml:space="preserve">საჯარო </w:t>
      </w:r>
      <w:r w:rsidR="00CA4E9B" w:rsidRPr="007971BD">
        <w:rPr>
          <w:rFonts w:ascii="Sylfaen" w:hAnsi="Sylfaen"/>
          <w:sz w:val="24"/>
          <w:szCs w:val="24"/>
          <w:lang w:val="ka-GE"/>
        </w:rPr>
        <w:t xml:space="preserve">თანამდებობის დაკავების  (კონსტიტუციის 25-ე მუხლის </w:t>
      </w:r>
      <w:r w:rsidR="00B93958" w:rsidRPr="007971BD">
        <w:rPr>
          <w:rFonts w:ascii="Sylfaen" w:hAnsi="Sylfaen"/>
          <w:sz w:val="24"/>
          <w:szCs w:val="24"/>
          <w:lang w:val="ka-GE"/>
        </w:rPr>
        <w:t>პირვე</w:t>
      </w:r>
      <w:r w:rsidR="00CA4E9B" w:rsidRPr="007971BD">
        <w:rPr>
          <w:rFonts w:ascii="Sylfaen" w:hAnsi="Sylfaen"/>
          <w:sz w:val="24"/>
          <w:szCs w:val="24"/>
          <w:lang w:val="ka-GE"/>
        </w:rPr>
        <w:t xml:space="preserve">ლი პუნქტი) უფლებებთან მიმართებაში </w:t>
      </w:r>
      <w:r w:rsidR="00450B39" w:rsidRPr="007971BD">
        <w:rPr>
          <w:rFonts w:ascii="Sylfaen" w:hAnsi="Sylfaen"/>
          <w:sz w:val="24"/>
          <w:szCs w:val="24"/>
          <w:lang w:val="ka-GE"/>
        </w:rPr>
        <w:t xml:space="preserve"> </w:t>
      </w:r>
      <w:r w:rsidR="00CA4E9B" w:rsidRPr="007971BD">
        <w:rPr>
          <w:rFonts w:ascii="Sylfaen" w:hAnsi="Sylfaen"/>
          <w:sz w:val="24"/>
          <w:szCs w:val="24"/>
          <w:lang w:val="ka-GE"/>
        </w:rPr>
        <w:t xml:space="preserve">თითქმის </w:t>
      </w:r>
      <w:r w:rsidR="00B93958" w:rsidRPr="007971BD">
        <w:rPr>
          <w:rFonts w:ascii="Sylfaen" w:hAnsi="Sylfaen"/>
          <w:sz w:val="24"/>
          <w:szCs w:val="24"/>
          <w:lang w:val="ka-GE"/>
        </w:rPr>
        <w:t>იდენტურია</w:t>
      </w:r>
      <w:r w:rsidR="00CA4E9B" w:rsidRPr="007971BD">
        <w:rPr>
          <w:rFonts w:ascii="Sylfaen" w:hAnsi="Sylfaen"/>
          <w:sz w:val="24"/>
          <w:szCs w:val="24"/>
          <w:lang w:val="ka-GE"/>
        </w:rPr>
        <w:t xml:space="preserve">. </w:t>
      </w:r>
      <w:r w:rsidR="00C14A22" w:rsidRPr="007971BD">
        <w:rPr>
          <w:rFonts w:ascii="Sylfaen" w:hAnsi="Sylfaen"/>
          <w:sz w:val="24"/>
          <w:szCs w:val="24"/>
          <w:lang w:val="ka-GE"/>
        </w:rPr>
        <w:lastRenderedPageBreak/>
        <w:t xml:space="preserve">ქვემოთ </w:t>
      </w:r>
      <w:r w:rsidR="00450B39" w:rsidRPr="007971BD">
        <w:rPr>
          <w:rFonts w:ascii="Sylfaen" w:hAnsi="Sylfaen"/>
          <w:sz w:val="24"/>
          <w:szCs w:val="24"/>
          <w:lang w:val="ka-GE"/>
        </w:rPr>
        <w:t xml:space="preserve"> ყურადღება გამახვილებულია მხოლოდ ძირითად</w:t>
      </w:r>
      <w:r w:rsidR="00B163BE">
        <w:rPr>
          <w:rFonts w:ascii="Sylfaen" w:hAnsi="Sylfaen"/>
          <w:sz w:val="24"/>
          <w:szCs w:val="24"/>
          <w:lang w:val="ka-GE"/>
        </w:rPr>
        <w:t xml:space="preserve">, </w:t>
      </w:r>
      <w:r w:rsidR="0020510A" w:rsidRPr="007971BD">
        <w:rPr>
          <w:rFonts w:ascii="Sylfaen" w:hAnsi="Sylfaen"/>
          <w:sz w:val="24"/>
          <w:szCs w:val="24"/>
          <w:lang w:val="ka-GE"/>
        </w:rPr>
        <w:t>პრობლ</w:t>
      </w:r>
      <w:r w:rsidR="00450B39" w:rsidRPr="007971BD">
        <w:rPr>
          <w:rFonts w:ascii="Sylfaen" w:hAnsi="Sylfaen"/>
          <w:sz w:val="24"/>
          <w:szCs w:val="24"/>
          <w:lang w:val="ka-GE"/>
        </w:rPr>
        <w:t xml:space="preserve">ემურ </w:t>
      </w:r>
      <w:r w:rsidR="0020510A" w:rsidRPr="007971BD">
        <w:rPr>
          <w:rFonts w:ascii="Sylfaen" w:hAnsi="Sylfaen"/>
          <w:sz w:val="24"/>
          <w:szCs w:val="24"/>
          <w:lang w:val="ka-GE"/>
        </w:rPr>
        <w:t xml:space="preserve"> </w:t>
      </w:r>
      <w:r w:rsidR="00450B39" w:rsidRPr="007971BD">
        <w:rPr>
          <w:rFonts w:ascii="Sylfaen" w:hAnsi="Sylfaen"/>
          <w:sz w:val="24"/>
          <w:szCs w:val="24"/>
          <w:lang w:val="ka-GE"/>
        </w:rPr>
        <w:t xml:space="preserve">ასპექტებზე. </w:t>
      </w:r>
    </w:p>
    <w:p w14:paraId="1CD01159" w14:textId="77777777" w:rsidR="00FE09E3" w:rsidRPr="007971BD" w:rsidRDefault="00FE09E3" w:rsidP="007847FD">
      <w:pPr>
        <w:pStyle w:val="ListParagraph"/>
        <w:spacing w:after="0"/>
        <w:ind w:left="360" w:firstLine="284"/>
        <w:jc w:val="both"/>
        <w:rPr>
          <w:rFonts w:ascii="Sylfaen" w:hAnsi="Sylfaen"/>
          <w:sz w:val="24"/>
          <w:szCs w:val="24"/>
          <w:lang w:val="ka-GE"/>
        </w:rPr>
      </w:pPr>
    </w:p>
    <w:p w14:paraId="5B6371BD" w14:textId="1887C48D" w:rsidR="007D48DD" w:rsidRDefault="007D48DD" w:rsidP="007847FD">
      <w:pPr>
        <w:pStyle w:val="Heading2"/>
        <w:numPr>
          <w:ilvl w:val="0"/>
          <w:numId w:val="7"/>
        </w:numPr>
        <w:spacing w:before="0"/>
        <w:ind w:left="0" w:firstLine="284"/>
        <w:jc w:val="both"/>
        <w:rPr>
          <w:rFonts w:ascii="Sylfaen" w:hAnsi="Sylfaen"/>
          <w:b/>
          <w:bCs/>
          <w:color w:val="auto"/>
          <w:sz w:val="24"/>
          <w:szCs w:val="24"/>
          <w:lang w:val="ka-GE"/>
        </w:rPr>
      </w:pPr>
      <w:r w:rsidRPr="007971BD">
        <w:rPr>
          <w:rFonts w:ascii="Sylfaen" w:hAnsi="Sylfaen"/>
          <w:b/>
          <w:bCs/>
          <w:color w:val="auto"/>
          <w:sz w:val="24"/>
          <w:szCs w:val="24"/>
          <w:lang w:val="ka-GE"/>
        </w:rPr>
        <w:t>ასაკი, როგორც დისკრიმინაციის არაკლასიკური ნიშანი?</w:t>
      </w:r>
    </w:p>
    <w:p w14:paraId="3F56CD0A" w14:textId="77777777" w:rsidR="00FE09E3" w:rsidRPr="00FE09E3" w:rsidRDefault="00FE09E3" w:rsidP="007847FD">
      <w:pPr>
        <w:spacing w:after="0"/>
        <w:ind w:firstLine="284"/>
        <w:rPr>
          <w:lang w:val="ka-GE"/>
        </w:rPr>
      </w:pPr>
    </w:p>
    <w:p w14:paraId="5644075F" w14:textId="0C2E63F6" w:rsidR="007D48DD" w:rsidRPr="007971BD" w:rsidRDefault="00313CD3" w:rsidP="007847FD">
      <w:pPr>
        <w:pStyle w:val="ListParagraph"/>
        <w:numPr>
          <w:ilvl w:val="0"/>
          <w:numId w:val="5"/>
        </w:numPr>
        <w:spacing w:after="0"/>
        <w:ind w:left="0" w:firstLine="284"/>
        <w:jc w:val="both"/>
        <w:rPr>
          <w:rFonts w:ascii="Sylfaen" w:hAnsi="Sylfaen"/>
          <w:sz w:val="24"/>
          <w:szCs w:val="24"/>
          <w:lang w:val="ka-GE"/>
        </w:rPr>
      </w:pPr>
      <w:r w:rsidRPr="007971BD">
        <w:rPr>
          <w:rFonts w:ascii="Sylfaen" w:hAnsi="Sylfaen"/>
          <w:sz w:val="24"/>
          <w:szCs w:val="24"/>
          <w:lang w:val="ka-GE"/>
        </w:rPr>
        <w:t xml:space="preserve"> ასაკი, რაკი იგი კონსტიტუციის მე-11 მუხლში სახელდებით არ არის მოხსენიებული, კოლეგებმა არ მიიჩნიეს დისკრიმინაციის კლასიკურ ნიშნად (</w:t>
      </w:r>
      <w:r w:rsidR="007D48DD" w:rsidRPr="007971BD">
        <w:rPr>
          <w:rFonts w:ascii="Sylfaen" w:hAnsi="Sylfaen"/>
          <w:sz w:val="24"/>
          <w:szCs w:val="24"/>
          <w:lang w:val="ka-GE"/>
        </w:rPr>
        <w:t xml:space="preserve">იხ. სამოტივაციო ნაწილის </w:t>
      </w:r>
      <w:r w:rsidRPr="007971BD">
        <w:rPr>
          <w:rFonts w:ascii="Sylfaen" w:hAnsi="Sylfaen"/>
          <w:sz w:val="24"/>
          <w:szCs w:val="24"/>
          <w:lang w:val="ka-GE"/>
        </w:rPr>
        <w:t>21</w:t>
      </w:r>
      <w:r w:rsidR="007D48DD" w:rsidRPr="007971BD">
        <w:rPr>
          <w:rFonts w:ascii="Sylfaen" w:hAnsi="Sylfaen"/>
          <w:sz w:val="24"/>
          <w:szCs w:val="24"/>
          <w:lang w:val="ka-GE"/>
        </w:rPr>
        <w:t>-ე პუნქტი</w:t>
      </w:r>
      <w:r w:rsidRPr="007971BD">
        <w:rPr>
          <w:rFonts w:ascii="Sylfaen" w:hAnsi="Sylfaen"/>
          <w:sz w:val="24"/>
          <w:szCs w:val="24"/>
          <w:lang w:val="ka-GE"/>
        </w:rPr>
        <w:t>) თუმცა, შეზღუდვის ინტენსიურობის გათვალისწინებით, მაინც მკაცრი ტესტის გამოყენებადობა მიიჩნიეს გამართლებულად (</w:t>
      </w:r>
      <w:r w:rsidR="007D48DD" w:rsidRPr="007971BD">
        <w:rPr>
          <w:rFonts w:ascii="Sylfaen" w:hAnsi="Sylfaen"/>
          <w:sz w:val="24"/>
          <w:szCs w:val="24"/>
          <w:lang w:val="ka-GE"/>
        </w:rPr>
        <w:t xml:space="preserve">იხ. სამოტივაციო ნაწილის </w:t>
      </w:r>
      <w:r w:rsidRPr="007971BD">
        <w:rPr>
          <w:rFonts w:ascii="Sylfaen" w:hAnsi="Sylfaen"/>
          <w:sz w:val="24"/>
          <w:szCs w:val="24"/>
          <w:lang w:val="ka-GE"/>
        </w:rPr>
        <w:t>29-</w:t>
      </w:r>
      <w:r w:rsidR="007D48DD" w:rsidRPr="007971BD">
        <w:rPr>
          <w:rFonts w:ascii="Sylfaen" w:hAnsi="Sylfaen"/>
          <w:sz w:val="24"/>
          <w:szCs w:val="24"/>
          <w:lang w:val="ka-GE"/>
        </w:rPr>
        <w:t xml:space="preserve">ე და </w:t>
      </w:r>
      <w:r w:rsidRPr="007971BD">
        <w:rPr>
          <w:rFonts w:ascii="Sylfaen" w:hAnsi="Sylfaen"/>
          <w:sz w:val="24"/>
          <w:szCs w:val="24"/>
          <w:lang w:val="ka-GE"/>
        </w:rPr>
        <w:t>31</w:t>
      </w:r>
      <w:r w:rsidR="007D48DD" w:rsidRPr="007971BD">
        <w:rPr>
          <w:rFonts w:ascii="Sylfaen" w:hAnsi="Sylfaen"/>
          <w:sz w:val="24"/>
          <w:szCs w:val="24"/>
          <w:lang w:val="ka-GE"/>
        </w:rPr>
        <w:t>-ე პუნქტები</w:t>
      </w:r>
      <w:r w:rsidRPr="007971BD">
        <w:rPr>
          <w:rFonts w:ascii="Sylfaen" w:hAnsi="Sylfaen"/>
          <w:sz w:val="24"/>
          <w:szCs w:val="24"/>
          <w:lang w:val="ka-GE"/>
        </w:rPr>
        <w:t>). მართალია, შეფასების ტესტი</w:t>
      </w:r>
      <w:r w:rsidR="007D48DD" w:rsidRPr="007971BD">
        <w:rPr>
          <w:rFonts w:ascii="Sylfaen" w:hAnsi="Sylfaen"/>
          <w:sz w:val="24"/>
          <w:szCs w:val="24"/>
          <w:lang w:val="ka-GE"/>
        </w:rPr>
        <w:t>,</w:t>
      </w:r>
      <w:r w:rsidRPr="007971BD">
        <w:rPr>
          <w:rFonts w:ascii="Sylfaen" w:hAnsi="Sylfaen"/>
          <w:sz w:val="24"/>
          <w:szCs w:val="24"/>
          <w:lang w:val="ka-GE"/>
        </w:rPr>
        <w:t xml:space="preserve"> საბოლოო ჯამში</w:t>
      </w:r>
      <w:r w:rsidR="007D48DD" w:rsidRPr="007971BD">
        <w:rPr>
          <w:rFonts w:ascii="Sylfaen" w:hAnsi="Sylfaen"/>
          <w:sz w:val="24"/>
          <w:szCs w:val="24"/>
          <w:lang w:val="ka-GE"/>
        </w:rPr>
        <w:t>,</w:t>
      </w:r>
      <w:r w:rsidRPr="007971BD">
        <w:rPr>
          <w:rFonts w:ascii="Sylfaen" w:hAnsi="Sylfaen"/>
          <w:sz w:val="24"/>
          <w:szCs w:val="24"/>
          <w:lang w:val="ka-GE"/>
        </w:rPr>
        <w:t xml:space="preserve"> სწორად შეირჩა, მაგრამ, ვფიქრობ, რომ ასაკის ჩაუთვლელობა დისკრიმინაციის კლასიკურ ნიშნად, გამართლებული არ არის. საკონსტიტუციო სასამართლოს მიდგომები მხოლოდ მე-11 მუხლში შესაბამისი ნიშნის მოხსენიებას თუ მოუხსენ</w:t>
      </w:r>
      <w:r w:rsidR="00CA7226">
        <w:rPr>
          <w:rFonts w:ascii="Sylfaen" w:hAnsi="Sylfaen"/>
          <w:sz w:val="24"/>
          <w:szCs w:val="24"/>
          <w:lang w:val="ka-GE"/>
        </w:rPr>
        <w:t>ი</w:t>
      </w:r>
      <w:r w:rsidRPr="007971BD">
        <w:rPr>
          <w:rFonts w:ascii="Sylfaen" w:hAnsi="Sylfaen"/>
          <w:sz w:val="24"/>
          <w:szCs w:val="24"/>
          <w:lang w:val="ka-GE"/>
        </w:rPr>
        <w:t xml:space="preserve">ებლობას კი არ უნდა ეფუძნებოდეს, არამედ </w:t>
      </w:r>
      <w:r w:rsidR="006C2DD1" w:rsidRPr="007971BD">
        <w:rPr>
          <w:rFonts w:ascii="Sylfaen" w:hAnsi="Sylfaen"/>
          <w:sz w:val="24"/>
          <w:szCs w:val="24"/>
          <w:lang w:val="ka-GE"/>
        </w:rPr>
        <w:t>საკუთრივ ნიშნის</w:t>
      </w:r>
      <w:r w:rsidRPr="007971BD">
        <w:rPr>
          <w:rFonts w:ascii="Sylfaen" w:hAnsi="Sylfaen"/>
          <w:sz w:val="24"/>
          <w:szCs w:val="24"/>
          <w:lang w:val="ka-GE"/>
        </w:rPr>
        <w:t xml:space="preserve"> ბუნებას,</w:t>
      </w:r>
      <w:r w:rsidR="006C2DD1" w:rsidRPr="007971BD">
        <w:rPr>
          <w:rFonts w:ascii="Sylfaen" w:hAnsi="Sylfaen"/>
          <w:sz w:val="24"/>
          <w:szCs w:val="24"/>
          <w:lang w:val="ka-GE"/>
        </w:rPr>
        <w:t xml:space="preserve"> რასაც ეფუძნება განსხვავებული მოპყრობა, ასევე,</w:t>
      </w:r>
      <w:r w:rsidR="00450B39" w:rsidRPr="007971BD">
        <w:rPr>
          <w:rFonts w:ascii="Sylfaen" w:hAnsi="Sylfaen"/>
          <w:sz w:val="24"/>
          <w:szCs w:val="24"/>
          <w:lang w:val="ka-GE"/>
        </w:rPr>
        <w:t xml:space="preserve"> </w:t>
      </w:r>
      <w:r w:rsidRPr="007971BD">
        <w:rPr>
          <w:rFonts w:ascii="Sylfaen" w:hAnsi="Sylfaen"/>
          <w:sz w:val="24"/>
          <w:szCs w:val="24"/>
          <w:lang w:val="ka-GE"/>
        </w:rPr>
        <w:t xml:space="preserve">მასთან მიმართებაში განსხვავებული მიდგომების გამოყენების ტიპურობას სხვადასხვა სამართალურთიერთობაში, რაც სინამდვილეში სძენს </w:t>
      </w:r>
      <w:r w:rsidR="00450B39" w:rsidRPr="007971BD">
        <w:rPr>
          <w:rFonts w:ascii="Sylfaen" w:hAnsi="Sylfaen"/>
          <w:sz w:val="24"/>
          <w:szCs w:val="24"/>
          <w:lang w:val="ka-GE"/>
        </w:rPr>
        <w:t xml:space="preserve">დისკრიმინაციის </w:t>
      </w:r>
      <w:r w:rsidR="006C2DD1" w:rsidRPr="007971BD">
        <w:rPr>
          <w:rFonts w:ascii="Sylfaen" w:hAnsi="Sylfaen"/>
          <w:sz w:val="24"/>
          <w:szCs w:val="24"/>
          <w:lang w:val="ka-GE"/>
        </w:rPr>
        <w:t>ამა თუ იმ</w:t>
      </w:r>
      <w:r w:rsidRPr="007971BD">
        <w:rPr>
          <w:rFonts w:ascii="Sylfaen" w:hAnsi="Sylfaen"/>
          <w:sz w:val="24"/>
          <w:szCs w:val="24"/>
          <w:lang w:val="ka-GE"/>
        </w:rPr>
        <w:t xml:space="preserve"> ნიშანს კლასიკურობის მახასიათებელს. კლასიკურია ყველა ის ნიშანი, რომელიც გამოხატავს ადამიანის/ადამიანების გარკვეული ჯგუფისადმი კუთვნილებას, რასაც  ხშირად ან არაიშვიათად, უკავშირებს ხოლმე სახელმწიფო მათდამი განსხვავებულ მოპყრობას იმ ადამიანებთან შედარებით, ვისაც ეს ნიშანი არ ახასიათებს. </w:t>
      </w:r>
      <w:r w:rsidR="00450B39" w:rsidRPr="007971BD">
        <w:rPr>
          <w:rFonts w:ascii="Sylfaen" w:hAnsi="Sylfaen"/>
          <w:sz w:val="24"/>
          <w:szCs w:val="24"/>
          <w:lang w:val="ka-GE"/>
        </w:rPr>
        <w:t>ამასთ</w:t>
      </w:r>
      <w:r w:rsidRPr="007971BD">
        <w:rPr>
          <w:rFonts w:ascii="Sylfaen" w:hAnsi="Sylfaen"/>
          <w:sz w:val="24"/>
          <w:szCs w:val="24"/>
          <w:lang w:val="ka-GE"/>
        </w:rPr>
        <w:t>ან</w:t>
      </w:r>
      <w:r w:rsidR="00FE09E3">
        <w:rPr>
          <w:rFonts w:ascii="Sylfaen" w:hAnsi="Sylfaen"/>
          <w:sz w:val="24"/>
          <w:szCs w:val="24"/>
          <w:lang w:val="ka-GE"/>
        </w:rPr>
        <w:t>ავე</w:t>
      </w:r>
      <w:r w:rsidRPr="007971BD">
        <w:rPr>
          <w:rFonts w:ascii="Sylfaen" w:hAnsi="Sylfaen"/>
          <w:sz w:val="24"/>
          <w:szCs w:val="24"/>
          <w:lang w:val="ka-GE"/>
        </w:rPr>
        <w:t>, მოცემულ კონტექსტში</w:t>
      </w:r>
      <w:r w:rsidR="00FE09E3">
        <w:rPr>
          <w:rFonts w:ascii="Sylfaen" w:hAnsi="Sylfaen"/>
          <w:sz w:val="24"/>
          <w:szCs w:val="24"/>
          <w:lang w:val="ka-GE"/>
        </w:rPr>
        <w:t>,</w:t>
      </w:r>
      <w:r w:rsidRPr="007971BD">
        <w:rPr>
          <w:rFonts w:ascii="Sylfaen" w:hAnsi="Sylfaen"/>
          <w:sz w:val="24"/>
          <w:szCs w:val="24"/>
          <w:lang w:val="ka-GE"/>
        </w:rPr>
        <w:t xml:space="preserve"> მნიშვნელობა არა აქვს, </w:t>
      </w:r>
      <w:r w:rsidR="00450B39" w:rsidRPr="007971BD">
        <w:rPr>
          <w:rFonts w:ascii="Sylfaen" w:hAnsi="Sylfaen"/>
          <w:sz w:val="24"/>
          <w:szCs w:val="24"/>
          <w:lang w:val="ka-GE"/>
        </w:rPr>
        <w:t xml:space="preserve"> </w:t>
      </w:r>
      <w:r w:rsidRPr="007971BD">
        <w:rPr>
          <w:rFonts w:ascii="Sylfaen" w:hAnsi="Sylfaen"/>
          <w:sz w:val="24"/>
          <w:szCs w:val="24"/>
          <w:lang w:val="ka-GE"/>
        </w:rPr>
        <w:t xml:space="preserve">სახელმწიფო ამას გონივრულ საფუძველზე აკეთებს თუ </w:t>
      </w:r>
      <w:r w:rsidR="00450B39" w:rsidRPr="007971BD">
        <w:rPr>
          <w:rFonts w:ascii="Sylfaen" w:hAnsi="Sylfaen"/>
          <w:sz w:val="24"/>
          <w:szCs w:val="24"/>
          <w:lang w:val="ka-GE"/>
        </w:rPr>
        <w:t xml:space="preserve"> სრულიად </w:t>
      </w:r>
      <w:r w:rsidRPr="007971BD">
        <w:rPr>
          <w:rFonts w:ascii="Sylfaen" w:hAnsi="Sylfaen"/>
          <w:sz w:val="24"/>
          <w:szCs w:val="24"/>
          <w:lang w:val="ka-GE"/>
        </w:rPr>
        <w:t xml:space="preserve">გაუმართლებლად. ადამიანთა ასაკი </w:t>
      </w:r>
      <w:r w:rsidR="006C2DD1" w:rsidRPr="007971BD">
        <w:rPr>
          <w:rFonts w:ascii="Sylfaen" w:hAnsi="Sylfaen"/>
          <w:sz w:val="24"/>
          <w:szCs w:val="24"/>
          <w:lang w:val="ka-GE"/>
        </w:rPr>
        <w:t>ნამდვი</w:t>
      </w:r>
      <w:r w:rsidR="007D48DD" w:rsidRPr="007971BD">
        <w:rPr>
          <w:rFonts w:ascii="Sylfaen" w:hAnsi="Sylfaen"/>
          <w:sz w:val="24"/>
          <w:szCs w:val="24"/>
          <w:lang w:val="ka-GE"/>
        </w:rPr>
        <w:t>ლ</w:t>
      </w:r>
      <w:r w:rsidR="006C2DD1" w:rsidRPr="007971BD">
        <w:rPr>
          <w:rFonts w:ascii="Sylfaen" w:hAnsi="Sylfaen"/>
          <w:sz w:val="24"/>
          <w:szCs w:val="24"/>
          <w:lang w:val="ka-GE"/>
        </w:rPr>
        <w:t>ად წარმოადგენს</w:t>
      </w:r>
      <w:r w:rsidRPr="007971BD">
        <w:rPr>
          <w:rFonts w:ascii="Sylfaen" w:hAnsi="Sylfaen"/>
          <w:sz w:val="24"/>
          <w:szCs w:val="24"/>
          <w:lang w:val="ka-GE"/>
        </w:rPr>
        <w:t xml:space="preserve"> </w:t>
      </w:r>
      <w:r w:rsidR="00450B39" w:rsidRPr="007971BD">
        <w:rPr>
          <w:rFonts w:ascii="Sylfaen" w:hAnsi="Sylfaen"/>
          <w:sz w:val="24"/>
          <w:szCs w:val="24"/>
          <w:lang w:val="ka-GE"/>
        </w:rPr>
        <w:t>ერთ-</w:t>
      </w:r>
      <w:r w:rsidR="006C2DD1" w:rsidRPr="007971BD">
        <w:rPr>
          <w:rFonts w:ascii="Sylfaen" w:hAnsi="Sylfaen"/>
          <w:sz w:val="24"/>
          <w:szCs w:val="24"/>
          <w:lang w:val="ka-GE"/>
        </w:rPr>
        <w:t>ერთ</w:t>
      </w:r>
      <w:r w:rsidR="00450B39" w:rsidRPr="007971BD">
        <w:rPr>
          <w:rFonts w:ascii="Sylfaen" w:hAnsi="Sylfaen"/>
          <w:sz w:val="24"/>
          <w:szCs w:val="24"/>
          <w:lang w:val="ka-GE"/>
        </w:rPr>
        <w:t xml:space="preserve"> </w:t>
      </w:r>
      <w:r w:rsidRPr="007971BD">
        <w:rPr>
          <w:rFonts w:ascii="Sylfaen" w:hAnsi="Sylfaen"/>
          <w:sz w:val="24"/>
          <w:szCs w:val="24"/>
          <w:lang w:val="ka-GE"/>
        </w:rPr>
        <w:t>ის</w:t>
      </w:r>
      <w:r w:rsidR="006C2DD1" w:rsidRPr="007971BD">
        <w:rPr>
          <w:rFonts w:ascii="Sylfaen" w:hAnsi="Sylfaen"/>
          <w:sz w:val="24"/>
          <w:szCs w:val="24"/>
          <w:lang w:val="ka-GE"/>
        </w:rPr>
        <w:t>ეთ</w:t>
      </w:r>
      <w:r w:rsidRPr="007971BD">
        <w:rPr>
          <w:rFonts w:ascii="Sylfaen" w:hAnsi="Sylfaen"/>
          <w:sz w:val="24"/>
          <w:szCs w:val="24"/>
          <w:lang w:val="ka-GE"/>
        </w:rPr>
        <w:t xml:space="preserve"> გარემოება</w:t>
      </w:r>
      <w:r w:rsidR="006C2DD1" w:rsidRPr="007971BD">
        <w:rPr>
          <w:rFonts w:ascii="Sylfaen" w:hAnsi="Sylfaen"/>
          <w:sz w:val="24"/>
          <w:szCs w:val="24"/>
          <w:lang w:val="ka-GE"/>
        </w:rPr>
        <w:t>ს</w:t>
      </w:r>
      <w:r w:rsidRPr="007971BD">
        <w:rPr>
          <w:rFonts w:ascii="Sylfaen" w:hAnsi="Sylfaen"/>
          <w:sz w:val="24"/>
          <w:szCs w:val="24"/>
          <w:lang w:val="ka-GE"/>
        </w:rPr>
        <w:t xml:space="preserve">, რასაც </w:t>
      </w:r>
      <w:r w:rsidR="00450B39" w:rsidRPr="007971BD">
        <w:rPr>
          <w:rFonts w:ascii="Sylfaen" w:hAnsi="Sylfaen"/>
          <w:sz w:val="24"/>
          <w:szCs w:val="24"/>
          <w:lang w:val="ka-GE"/>
        </w:rPr>
        <w:t>განსხვავებული მოპ</w:t>
      </w:r>
      <w:r w:rsidR="00FE09E3">
        <w:rPr>
          <w:rFonts w:ascii="Sylfaen" w:hAnsi="Sylfaen"/>
          <w:sz w:val="24"/>
          <w:szCs w:val="24"/>
          <w:lang w:val="ka-GE"/>
        </w:rPr>
        <w:t>ყ</w:t>
      </w:r>
      <w:r w:rsidR="00450B39" w:rsidRPr="007971BD">
        <w:rPr>
          <w:rFonts w:ascii="Sylfaen" w:hAnsi="Sylfaen"/>
          <w:sz w:val="24"/>
          <w:szCs w:val="24"/>
          <w:lang w:val="ka-GE"/>
        </w:rPr>
        <w:t xml:space="preserve">რობა </w:t>
      </w:r>
      <w:r w:rsidR="006F6395" w:rsidRPr="007971BD">
        <w:rPr>
          <w:rFonts w:ascii="Sylfaen" w:hAnsi="Sylfaen"/>
          <w:sz w:val="24"/>
          <w:szCs w:val="24"/>
          <w:lang w:val="ka-GE"/>
        </w:rPr>
        <w:t>უკავშირდებ</w:t>
      </w:r>
      <w:r w:rsidR="007D48DD" w:rsidRPr="007971BD">
        <w:rPr>
          <w:rFonts w:ascii="Sylfaen" w:hAnsi="Sylfaen"/>
          <w:sz w:val="24"/>
          <w:szCs w:val="24"/>
          <w:lang w:val="ka-GE"/>
        </w:rPr>
        <w:t>ა</w:t>
      </w:r>
      <w:r w:rsidRPr="007971BD">
        <w:rPr>
          <w:rFonts w:ascii="Sylfaen" w:hAnsi="Sylfaen"/>
          <w:sz w:val="24"/>
          <w:szCs w:val="24"/>
          <w:lang w:val="ka-GE"/>
        </w:rPr>
        <w:t xml:space="preserve"> მრავალ სამართალურთიერთობაში</w:t>
      </w:r>
      <w:r w:rsidR="007D48DD" w:rsidRPr="007971BD">
        <w:rPr>
          <w:rFonts w:ascii="Sylfaen" w:hAnsi="Sylfaen"/>
          <w:sz w:val="24"/>
          <w:szCs w:val="24"/>
          <w:lang w:val="ka-GE"/>
        </w:rPr>
        <w:t xml:space="preserve"> </w:t>
      </w:r>
      <w:r w:rsidRPr="007971BD">
        <w:rPr>
          <w:rFonts w:ascii="Sylfaen" w:hAnsi="Sylfaen"/>
          <w:sz w:val="24"/>
          <w:szCs w:val="24"/>
          <w:lang w:val="ka-GE"/>
        </w:rPr>
        <w:t>(სრულწლოვანებას</w:t>
      </w:r>
      <w:r w:rsidR="006F6395" w:rsidRPr="007971BD">
        <w:rPr>
          <w:rFonts w:ascii="Sylfaen" w:hAnsi="Sylfaen"/>
          <w:sz w:val="24"/>
          <w:szCs w:val="24"/>
          <w:lang w:val="ka-GE"/>
        </w:rPr>
        <w:t>თან</w:t>
      </w:r>
      <w:r w:rsidRPr="007971BD">
        <w:rPr>
          <w:rFonts w:ascii="Sylfaen" w:hAnsi="Sylfaen"/>
          <w:sz w:val="24"/>
          <w:szCs w:val="24"/>
          <w:lang w:val="ka-GE"/>
        </w:rPr>
        <w:t>, ქორწინებასთან, აქტიურ და პასიურ საარჩევნო უფლებასთან, სისხლის სამართლის პასუხისმგებლობის უნარიანობასთან,  სხვადასხვა თანამდებობის დაკავებასთან  თუ საქმიანობაში დასაქმებასთან, ისევე როგორც,  სხვადასხვა სფეროებში სავალდებულო თუ ნებაყოფლობით გადადგომასთან დაკავშირებული ურთიერთობები). ამგვარი განსხვავებული მოპყრობები, შეიძლება,  თავის მხრივ, ნაკვები და გაჟღენთილი იყოს საზოგადოებაში არსებული,</w:t>
      </w:r>
      <w:r w:rsidR="00FE09E3">
        <w:rPr>
          <w:rFonts w:ascii="Sylfaen" w:hAnsi="Sylfaen"/>
          <w:sz w:val="24"/>
          <w:szCs w:val="24"/>
          <w:lang w:val="ka-GE"/>
        </w:rPr>
        <w:t xml:space="preserve"> </w:t>
      </w:r>
      <w:r w:rsidRPr="007971BD">
        <w:rPr>
          <w:rFonts w:ascii="Sylfaen" w:hAnsi="Sylfaen"/>
          <w:sz w:val="24"/>
          <w:szCs w:val="24"/>
          <w:lang w:val="ka-GE"/>
        </w:rPr>
        <w:t xml:space="preserve">ფესვგადგმული თუ ხელოვნურად თავსმოხვეული სტერეოტიპებითა და დამოკიდებულებებით, რაც კიდევ უფრო </w:t>
      </w:r>
      <w:r w:rsidR="006F6395" w:rsidRPr="007971BD">
        <w:rPr>
          <w:rFonts w:ascii="Sylfaen" w:hAnsi="Sylfaen"/>
          <w:sz w:val="24"/>
          <w:szCs w:val="24"/>
          <w:lang w:val="ka-GE"/>
        </w:rPr>
        <w:t>მოწყ</w:t>
      </w:r>
      <w:r w:rsidRPr="007971BD">
        <w:rPr>
          <w:rFonts w:ascii="Sylfaen" w:hAnsi="Sylfaen"/>
          <w:sz w:val="24"/>
          <w:szCs w:val="24"/>
          <w:lang w:val="ka-GE"/>
        </w:rPr>
        <w:t>ვლად</w:t>
      </w:r>
      <w:r w:rsidR="007D48DD" w:rsidRPr="007971BD">
        <w:rPr>
          <w:rFonts w:ascii="Sylfaen" w:hAnsi="Sylfaen"/>
          <w:sz w:val="24"/>
          <w:szCs w:val="24"/>
          <w:lang w:val="ka-GE"/>
        </w:rPr>
        <w:t>ს</w:t>
      </w:r>
      <w:r w:rsidRPr="007971BD">
        <w:rPr>
          <w:rFonts w:ascii="Sylfaen" w:hAnsi="Sylfaen"/>
          <w:sz w:val="24"/>
          <w:szCs w:val="24"/>
          <w:lang w:val="ka-GE"/>
        </w:rPr>
        <w:t xml:space="preserve"> ხდის ადამიანთა გარკვეულ ასაკობრივ ჯგუფებს</w:t>
      </w:r>
      <w:r w:rsidR="006F6395" w:rsidRPr="007971BD">
        <w:rPr>
          <w:rFonts w:ascii="Sylfaen" w:hAnsi="Sylfaen"/>
          <w:sz w:val="24"/>
          <w:szCs w:val="24"/>
          <w:lang w:val="ka-GE"/>
        </w:rPr>
        <w:t xml:space="preserve">. </w:t>
      </w:r>
      <w:r w:rsidRPr="007971BD">
        <w:rPr>
          <w:rFonts w:ascii="Sylfaen" w:hAnsi="Sylfaen"/>
          <w:sz w:val="24"/>
          <w:szCs w:val="24"/>
          <w:lang w:val="ka-GE"/>
        </w:rPr>
        <w:t>ასაკი  ნამდვილად არის ერთ</w:t>
      </w:r>
      <w:r w:rsidR="007D48DD" w:rsidRPr="007971BD">
        <w:rPr>
          <w:rFonts w:ascii="Sylfaen" w:hAnsi="Sylfaen"/>
          <w:sz w:val="24"/>
          <w:szCs w:val="24"/>
          <w:lang w:val="ka-GE"/>
        </w:rPr>
        <w:t>-</w:t>
      </w:r>
      <w:r w:rsidRPr="007971BD">
        <w:rPr>
          <w:rFonts w:ascii="Sylfaen" w:hAnsi="Sylfaen"/>
          <w:sz w:val="24"/>
          <w:szCs w:val="24"/>
          <w:lang w:val="ka-GE"/>
        </w:rPr>
        <w:t>ერთი ტიპური ნიშანი ადამიანთა მიმართ განსხვავებული მოპ</w:t>
      </w:r>
      <w:r w:rsidR="00FE09E3">
        <w:rPr>
          <w:rFonts w:ascii="Sylfaen" w:hAnsi="Sylfaen"/>
          <w:sz w:val="24"/>
          <w:szCs w:val="24"/>
          <w:lang w:val="ka-GE"/>
        </w:rPr>
        <w:t>ყ</w:t>
      </w:r>
      <w:r w:rsidRPr="007971BD">
        <w:rPr>
          <w:rFonts w:ascii="Sylfaen" w:hAnsi="Sylfaen"/>
          <w:sz w:val="24"/>
          <w:szCs w:val="24"/>
          <w:lang w:val="ka-GE"/>
        </w:rPr>
        <w:t xml:space="preserve">რობისა, მათ შორის, როგორც გამართლებულ, ისე სრულიად გაუმართლებელ შემთხვევებში. </w:t>
      </w:r>
      <w:r w:rsidR="006F6395" w:rsidRPr="007971BD">
        <w:rPr>
          <w:rFonts w:ascii="Sylfaen" w:hAnsi="Sylfaen"/>
          <w:sz w:val="24"/>
          <w:szCs w:val="24"/>
          <w:lang w:val="ka-GE"/>
        </w:rPr>
        <w:t>იგი</w:t>
      </w:r>
      <w:r w:rsidRPr="007971BD">
        <w:rPr>
          <w:rFonts w:ascii="Sylfaen" w:hAnsi="Sylfaen"/>
          <w:sz w:val="24"/>
          <w:szCs w:val="24"/>
          <w:lang w:val="ka-GE"/>
        </w:rPr>
        <w:t xml:space="preserve"> </w:t>
      </w:r>
      <w:r w:rsidR="006F6395" w:rsidRPr="007971BD">
        <w:rPr>
          <w:rFonts w:ascii="Sylfaen" w:hAnsi="Sylfaen"/>
          <w:sz w:val="24"/>
          <w:szCs w:val="24"/>
          <w:lang w:val="ka-GE"/>
        </w:rPr>
        <w:t xml:space="preserve"> </w:t>
      </w:r>
      <w:r w:rsidRPr="007971BD">
        <w:rPr>
          <w:rFonts w:ascii="Sylfaen" w:hAnsi="Sylfaen"/>
          <w:sz w:val="24"/>
          <w:szCs w:val="24"/>
          <w:lang w:val="ka-GE"/>
        </w:rPr>
        <w:t>ისეთივე ტიპური ნიშანი</w:t>
      </w:r>
      <w:r w:rsidR="006F6395" w:rsidRPr="007971BD">
        <w:rPr>
          <w:rFonts w:ascii="Sylfaen" w:hAnsi="Sylfaen"/>
          <w:sz w:val="24"/>
          <w:szCs w:val="24"/>
          <w:lang w:val="ka-GE"/>
        </w:rPr>
        <w:t>ა</w:t>
      </w:r>
      <w:r w:rsidRPr="007971BD">
        <w:rPr>
          <w:rFonts w:ascii="Sylfaen" w:hAnsi="Sylfaen"/>
          <w:sz w:val="24"/>
          <w:szCs w:val="24"/>
          <w:lang w:val="ka-GE"/>
        </w:rPr>
        <w:t xml:space="preserve">, </w:t>
      </w:r>
      <w:r w:rsidR="006F6395" w:rsidRPr="007971BD">
        <w:rPr>
          <w:rFonts w:ascii="Sylfaen" w:hAnsi="Sylfaen"/>
          <w:sz w:val="24"/>
          <w:szCs w:val="24"/>
          <w:lang w:val="ka-GE"/>
        </w:rPr>
        <w:t>როგორიც</w:t>
      </w:r>
      <w:r w:rsidR="00CA7226">
        <w:rPr>
          <w:rFonts w:ascii="Sylfaen" w:hAnsi="Sylfaen"/>
          <w:sz w:val="24"/>
          <w:szCs w:val="24"/>
          <w:lang w:val="ka-GE"/>
        </w:rPr>
        <w:t>ა</w:t>
      </w:r>
      <w:r w:rsidR="006F6395" w:rsidRPr="007971BD">
        <w:rPr>
          <w:rFonts w:ascii="Sylfaen" w:hAnsi="Sylfaen"/>
          <w:sz w:val="24"/>
          <w:szCs w:val="24"/>
          <w:lang w:val="ka-GE"/>
        </w:rPr>
        <w:t>ა, მაგალითად,</w:t>
      </w:r>
      <w:r w:rsidRPr="007971BD">
        <w:rPr>
          <w:rFonts w:ascii="Sylfaen" w:hAnsi="Sylfaen"/>
          <w:sz w:val="24"/>
          <w:szCs w:val="24"/>
          <w:lang w:val="ka-GE"/>
        </w:rPr>
        <w:t xml:space="preserve"> რასობრივი, ეროვნული, ეთნიკური, ენობრივი თუ  სხვა კუთვნილება, რასაც კიდევ ის მოწმობს, რომ ადამიანის უფლებათა უნივერსალურ თუ რეგიონულ აქტებში იგი ხშირად არის </w:t>
      </w:r>
      <w:r w:rsidR="006F6395" w:rsidRPr="007971BD">
        <w:rPr>
          <w:rFonts w:ascii="Sylfaen" w:hAnsi="Sylfaen"/>
          <w:sz w:val="24"/>
          <w:szCs w:val="24"/>
          <w:lang w:val="ka-GE"/>
        </w:rPr>
        <w:t xml:space="preserve"> მოხსენი</w:t>
      </w:r>
      <w:r w:rsidRPr="007971BD">
        <w:rPr>
          <w:rFonts w:ascii="Sylfaen" w:hAnsi="Sylfaen"/>
          <w:sz w:val="24"/>
          <w:szCs w:val="24"/>
          <w:lang w:val="ka-GE"/>
        </w:rPr>
        <w:t xml:space="preserve">ებული ადამიანთა თანასწორობის განმსაზღვრელ </w:t>
      </w:r>
      <w:r w:rsidRPr="007971BD">
        <w:rPr>
          <w:rFonts w:ascii="Sylfaen" w:hAnsi="Sylfaen"/>
          <w:sz w:val="24"/>
          <w:szCs w:val="24"/>
          <w:lang w:val="ka-GE"/>
        </w:rPr>
        <w:lastRenderedPageBreak/>
        <w:t>დებულებებში</w:t>
      </w:r>
      <w:r w:rsidR="006F6395" w:rsidRPr="007971BD">
        <w:rPr>
          <w:rFonts w:ascii="Sylfaen" w:hAnsi="Sylfaen"/>
          <w:sz w:val="24"/>
          <w:szCs w:val="24"/>
          <w:lang w:val="ka-GE"/>
        </w:rPr>
        <w:t xml:space="preserve"> (</w:t>
      </w:r>
      <w:r w:rsidRPr="007971BD">
        <w:rPr>
          <w:rFonts w:ascii="Sylfaen" w:hAnsi="Sylfaen"/>
          <w:sz w:val="24"/>
          <w:szCs w:val="24"/>
          <w:lang w:val="ka-GE"/>
        </w:rPr>
        <w:t xml:space="preserve">მაგალითად, ძირითადი უფლებების შესახებ ევროპის კავშირის ქარტიის 21-ე </w:t>
      </w:r>
      <w:r w:rsidR="006F6395" w:rsidRPr="007971BD">
        <w:rPr>
          <w:rFonts w:ascii="Sylfaen" w:hAnsi="Sylfaen"/>
          <w:sz w:val="24"/>
          <w:szCs w:val="24"/>
          <w:lang w:val="ka-GE"/>
        </w:rPr>
        <w:t>მუხლ</w:t>
      </w:r>
      <w:r w:rsidRPr="007971BD">
        <w:rPr>
          <w:rFonts w:ascii="Sylfaen" w:hAnsi="Sylfaen"/>
          <w:sz w:val="24"/>
          <w:szCs w:val="24"/>
          <w:lang w:val="ka-GE"/>
        </w:rPr>
        <w:t xml:space="preserve">ი სახელდებით </w:t>
      </w:r>
      <w:r w:rsidR="006F6395" w:rsidRPr="007971BD">
        <w:rPr>
          <w:rFonts w:ascii="Sylfaen" w:hAnsi="Sylfaen"/>
          <w:sz w:val="24"/>
          <w:szCs w:val="24"/>
          <w:lang w:val="ka-GE"/>
        </w:rPr>
        <w:t xml:space="preserve"> კრძალავს</w:t>
      </w:r>
      <w:r w:rsidRPr="007971BD">
        <w:rPr>
          <w:rFonts w:ascii="Sylfaen" w:hAnsi="Sylfaen"/>
          <w:sz w:val="24"/>
          <w:szCs w:val="24"/>
          <w:lang w:val="ka-GE"/>
        </w:rPr>
        <w:t xml:space="preserve">  ასაკის გამო  </w:t>
      </w:r>
      <w:r w:rsidR="006F6395" w:rsidRPr="007971BD">
        <w:rPr>
          <w:rFonts w:ascii="Sylfaen" w:hAnsi="Sylfaen"/>
          <w:sz w:val="24"/>
          <w:szCs w:val="24"/>
          <w:lang w:val="ka-GE"/>
        </w:rPr>
        <w:t>დისკრიმინაციას)</w:t>
      </w:r>
      <w:r w:rsidR="00FE09E3">
        <w:rPr>
          <w:rFonts w:ascii="Sylfaen" w:hAnsi="Sylfaen"/>
          <w:sz w:val="24"/>
          <w:szCs w:val="24"/>
          <w:lang w:val="ka-GE"/>
        </w:rPr>
        <w:t>.</w:t>
      </w:r>
    </w:p>
    <w:p w14:paraId="59D1FAE6" w14:textId="59F18580" w:rsidR="007D48DD" w:rsidRPr="007971BD" w:rsidRDefault="00313CD3"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hAnsi="Sylfaen"/>
          <w:sz w:val="24"/>
          <w:szCs w:val="24"/>
          <w:lang w:val="ka-GE"/>
        </w:rPr>
        <w:t xml:space="preserve">ზემოაღნიშნულიდან გამომდინარე, ვფიქრობ, რომ ადამიანის ასაკი არის „დისკრიმინაციის კლასიკური ნიშანი“ და რომ საერთოდ, საკონსტიტუციო სასამართლომ უფრო ფართო მიდგომა უნდა გამოიყენოს კონსტიტუციის მე-11 მუხლის </w:t>
      </w:r>
      <w:r w:rsidR="006F6395" w:rsidRPr="007971BD">
        <w:rPr>
          <w:rFonts w:ascii="Sylfaen" w:hAnsi="Sylfaen"/>
          <w:sz w:val="24"/>
          <w:szCs w:val="24"/>
          <w:lang w:val="ka-GE"/>
        </w:rPr>
        <w:t>ტექსტ</w:t>
      </w:r>
      <w:r w:rsidRPr="007971BD">
        <w:rPr>
          <w:rFonts w:ascii="Sylfaen" w:hAnsi="Sylfaen"/>
          <w:sz w:val="24"/>
          <w:szCs w:val="24"/>
          <w:lang w:val="ka-GE"/>
        </w:rPr>
        <w:t xml:space="preserve">ის გააზრებისას, როდესაც </w:t>
      </w:r>
      <w:r w:rsidR="006F6395" w:rsidRPr="007971BD">
        <w:rPr>
          <w:rFonts w:ascii="Sylfaen" w:hAnsi="Sylfaen"/>
          <w:sz w:val="24"/>
          <w:szCs w:val="24"/>
          <w:lang w:val="ka-GE"/>
        </w:rPr>
        <w:t>გა</w:t>
      </w:r>
      <w:r w:rsidR="00FE09E3">
        <w:rPr>
          <w:rFonts w:ascii="Sylfaen" w:hAnsi="Sylfaen"/>
          <w:sz w:val="24"/>
          <w:szCs w:val="24"/>
          <w:lang w:val="ka-GE"/>
        </w:rPr>
        <w:t>ნ</w:t>
      </w:r>
      <w:r w:rsidR="006F6395" w:rsidRPr="007971BD">
        <w:rPr>
          <w:rFonts w:ascii="Sylfaen" w:hAnsi="Sylfaen"/>
          <w:sz w:val="24"/>
          <w:szCs w:val="24"/>
          <w:lang w:val="ka-GE"/>
        </w:rPr>
        <w:t xml:space="preserve">სხვავებული მოპყრობის </w:t>
      </w:r>
      <w:r w:rsidRPr="007971BD">
        <w:rPr>
          <w:rFonts w:ascii="Sylfaen" w:hAnsi="Sylfaen"/>
          <w:sz w:val="24"/>
          <w:szCs w:val="24"/>
          <w:lang w:val="ka-GE"/>
        </w:rPr>
        <w:t>ამა თუ იმ ნიშნის „კლასიკურობას“ აფასებს.</w:t>
      </w:r>
    </w:p>
    <w:p w14:paraId="12C48B3D" w14:textId="6BB1E99D" w:rsidR="007D48DD" w:rsidRPr="007971BD" w:rsidRDefault="007D48DD" w:rsidP="007847FD">
      <w:pPr>
        <w:pStyle w:val="Heading2"/>
        <w:numPr>
          <w:ilvl w:val="0"/>
          <w:numId w:val="7"/>
        </w:numPr>
        <w:ind w:left="0" w:firstLine="284"/>
        <w:jc w:val="both"/>
        <w:rPr>
          <w:rFonts w:ascii="Sylfaen" w:hAnsi="Sylfaen"/>
          <w:b/>
          <w:bCs/>
          <w:color w:val="auto"/>
          <w:sz w:val="24"/>
          <w:szCs w:val="24"/>
          <w:lang w:val="ka-GE"/>
        </w:rPr>
      </w:pPr>
      <w:r w:rsidRPr="007971BD">
        <w:rPr>
          <w:rFonts w:ascii="Sylfaen" w:hAnsi="Sylfaen"/>
          <w:b/>
          <w:bCs/>
          <w:color w:val="auto"/>
          <w:sz w:val="24"/>
          <w:szCs w:val="24"/>
          <w:lang w:val="ka-GE"/>
        </w:rPr>
        <w:t>გერიატრიული ასაკი  და ლეგიტიმური მიზნები</w:t>
      </w:r>
    </w:p>
    <w:p w14:paraId="289F2AA7" w14:textId="77777777" w:rsidR="007D48DD" w:rsidRPr="007971BD" w:rsidRDefault="007D48DD" w:rsidP="007847FD">
      <w:pPr>
        <w:pStyle w:val="ListParagraph"/>
        <w:ind w:left="630" w:firstLine="284"/>
        <w:jc w:val="both"/>
        <w:rPr>
          <w:rFonts w:ascii="Sylfaen" w:hAnsi="Sylfaen"/>
          <w:b/>
          <w:i/>
          <w:sz w:val="24"/>
          <w:szCs w:val="24"/>
          <w:lang w:val="ka-GE"/>
        </w:rPr>
      </w:pPr>
    </w:p>
    <w:p w14:paraId="432E71DA" w14:textId="5F9CB1D4" w:rsidR="00126019" w:rsidRPr="007971BD" w:rsidRDefault="005E23AF"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hAnsi="Sylfaen"/>
          <w:sz w:val="24"/>
          <w:szCs w:val="24"/>
          <w:lang w:val="ka-GE"/>
        </w:rPr>
        <w:t xml:space="preserve">სასამართლომ ერთი მხრივ, </w:t>
      </w:r>
      <w:r w:rsidR="004B0CF9" w:rsidRPr="007971BD">
        <w:rPr>
          <w:rFonts w:ascii="Sylfaen" w:hAnsi="Sylfaen"/>
          <w:sz w:val="24"/>
          <w:szCs w:val="24"/>
          <w:lang w:val="ka-GE"/>
        </w:rPr>
        <w:t>გადაწყვეტილებაში</w:t>
      </w:r>
      <w:r w:rsidR="0071708F" w:rsidRPr="007971BD">
        <w:rPr>
          <w:rFonts w:ascii="Sylfaen" w:hAnsi="Sylfaen"/>
          <w:sz w:val="24"/>
          <w:szCs w:val="24"/>
          <w:lang w:val="ka-GE"/>
        </w:rPr>
        <w:t xml:space="preserve"> </w:t>
      </w:r>
      <w:r w:rsidRPr="007971BD">
        <w:rPr>
          <w:rFonts w:ascii="Sylfaen" w:hAnsi="Sylfaen"/>
          <w:sz w:val="24"/>
          <w:szCs w:val="24"/>
          <w:lang w:val="ka-GE"/>
        </w:rPr>
        <w:t>მიუთითა თავისი პრეცედენტული სამართლით დადგენილი (სავსებით სწორი) მიდგომა ასაკობრივ შეზღუდვებთან მიმართებაში</w:t>
      </w:r>
      <w:r w:rsidR="0071708F" w:rsidRPr="007971BD">
        <w:rPr>
          <w:rStyle w:val="FootnoteReference"/>
          <w:rFonts w:ascii="Sylfaen" w:hAnsi="Sylfaen"/>
          <w:sz w:val="24"/>
          <w:szCs w:val="24"/>
          <w:lang w:val="ka-GE"/>
        </w:rPr>
        <w:t>.</w:t>
      </w:r>
      <w:r w:rsidR="0071708F" w:rsidRPr="007971BD">
        <w:rPr>
          <w:rFonts w:ascii="Sylfaen" w:hAnsi="Sylfaen"/>
          <w:sz w:val="24"/>
          <w:szCs w:val="24"/>
          <w:lang w:val="ka-GE"/>
        </w:rPr>
        <w:t>.</w:t>
      </w:r>
      <w:r w:rsidR="0071708F" w:rsidRPr="007971BD">
        <w:rPr>
          <w:rStyle w:val="FootnoteReference"/>
          <w:rFonts w:ascii="Sylfaen" w:hAnsi="Sylfaen"/>
          <w:sz w:val="24"/>
          <w:szCs w:val="24"/>
          <w:lang w:val="ka-GE"/>
        </w:rPr>
        <w:t xml:space="preserve"> </w:t>
      </w:r>
      <w:r w:rsidR="004B0CF9" w:rsidRPr="007971BD">
        <w:rPr>
          <w:rFonts w:ascii="Sylfaen" w:hAnsi="Sylfaen"/>
          <w:sz w:val="24"/>
          <w:szCs w:val="24"/>
          <w:lang w:val="ka-GE"/>
        </w:rPr>
        <w:t xml:space="preserve"> კერძოდ ის,</w:t>
      </w:r>
      <w:r w:rsidRPr="007971BD">
        <w:rPr>
          <w:rFonts w:ascii="Sylfaen" w:hAnsi="Sylfaen"/>
          <w:sz w:val="24"/>
          <w:szCs w:val="24"/>
          <w:lang w:val="ka-GE"/>
        </w:rPr>
        <w:t xml:space="preserve">  რომ </w:t>
      </w:r>
      <w:r w:rsidRPr="007971BD">
        <w:rPr>
          <w:rFonts w:ascii="Sylfaen" w:eastAsia="Merriweather" w:hAnsi="Sylfaen" w:cs="Merriweather"/>
          <w:sz w:val="24"/>
          <w:szCs w:val="24"/>
          <w:lang w:val="ka-GE"/>
        </w:rPr>
        <w:t xml:space="preserve"> ამა თუ იმ თანამდებობის დაკავების ან/და საქმიანობის განხორციელებისათვის ასაკთან დაკავშირებული ბლანკეტური შეზღუდვა  რაციონალურად  შ</w:t>
      </w:r>
      <w:r w:rsidR="006F6395" w:rsidRPr="007971BD">
        <w:rPr>
          <w:rFonts w:ascii="Sylfaen" w:eastAsia="Merriweather" w:hAnsi="Sylfaen" w:cs="Merriweather"/>
          <w:sz w:val="24"/>
          <w:szCs w:val="24"/>
          <w:lang w:val="ka-GE"/>
        </w:rPr>
        <w:t>ეი</w:t>
      </w:r>
      <w:r w:rsidRPr="007971BD">
        <w:rPr>
          <w:rFonts w:ascii="Sylfaen" w:eastAsia="Merriweather" w:hAnsi="Sylfaen" w:cs="Merriweather"/>
          <w:sz w:val="24"/>
          <w:szCs w:val="24"/>
          <w:lang w:val="ka-GE"/>
        </w:rPr>
        <w:t xml:space="preserve">ძლებოდა მიჩნეული ყოფილიყო მხოლოდ მაშინ, თუ  დადგინდებოდა, რომ  კონკრეტული საქმიანობის ბუნებიდან გამომდინარე, </w:t>
      </w:r>
      <w:r w:rsidRPr="00B163BE">
        <w:rPr>
          <w:rFonts w:ascii="Sylfaen" w:eastAsia="Merriweather" w:hAnsi="Sylfaen" w:cs="Merriweather"/>
          <w:b/>
          <w:sz w:val="24"/>
          <w:szCs w:val="24"/>
          <w:lang w:val="ka-GE"/>
        </w:rPr>
        <w:t xml:space="preserve">როგორც წესი, </w:t>
      </w:r>
      <w:r w:rsidR="00331E7C" w:rsidRPr="00B163BE">
        <w:rPr>
          <w:rFonts w:ascii="Sylfaen" w:eastAsia="Merriweather" w:hAnsi="Sylfaen" w:cs="Merriweather"/>
          <w:sz w:val="24"/>
          <w:szCs w:val="24"/>
          <w:lang w:val="ka-GE"/>
        </w:rPr>
        <w:t>„</w:t>
      </w:r>
      <w:r w:rsidRPr="00B163BE">
        <w:rPr>
          <w:rFonts w:ascii="Sylfaen" w:eastAsia="Merriweather" w:hAnsi="Sylfaen" w:cs="Merriweather"/>
          <w:b/>
          <w:sz w:val="24"/>
          <w:szCs w:val="24"/>
          <w:lang w:val="ka-GE"/>
        </w:rPr>
        <w:t>განსაზღვრული ასაკის პირთა დიდი უმრავლესობა</w:t>
      </w:r>
      <w:r w:rsidR="00331E7C" w:rsidRPr="00B163BE">
        <w:rPr>
          <w:rFonts w:ascii="Sylfaen" w:eastAsia="Merriweather" w:hAnsi="Sylfaen" w:cs="Merriweather"/>
          <w:b/>
          <w:sz w:val="24"/>
          <w:szCs w:val="24"/>
          <w:lang w:val="ka-GE"/>
        </w:rPr>
        <w:t>“</w:t>
      </w:r>
      <w:r w:rsidR="00331E7C" w:rsidRPr="007971BD">
        <w:rPr>
          <w:rFonts w:ascii="Sylfaen" w:eastAsia="Merriweather" w:hAnsi="Sylfaen" w:cs="Merriweather"/>
          <w:b/>
          <w:sz w:val="24"/>
          <w:szCs w:val="24"/>
          <w:lang w:val="ka-GE"/>
        </w:rPr>
        <w:t xml:space="preserve"> </w:t>
      </w:r>
      <w:r w:rsidR="00331E7C" w:rsidRPr="007971BD">
        <w:rPr>
          <w:rFonts w:ascii="Sylfaen" w:eastAsia="Merriweather" w:hAnsi="Sylfaen" w:cs="Merriweather"/>
          <w:sz w:val="24"/>
          <w:szCs w:val="24"/>
          <w:lang w:val="ka-GE"/>
        </w:rPr>
        <w:t>(ხაზგასმა ჩემია)</w:t>
      </w:r>
      <w:r w:rsidRPr="007971BD">
        <w:rPr>
          <w:rFonts w:ascii="Sylfaen" w:eastAsia="Merriweather" w:hAnsi="Sylfaen" w:cs="Merriweather"/>
          <w:sz w:val="24"/>
          <w:szCs w:val="24"/>
          <w:lang w:val="ka-GE"/>
        </w:rPr>
        <w:t xml:space="preserve"> ვერ შეძლებდა დაკისრებული ფუნქციების შესრულებას</w:t>
      </w:r>
      <w:r w:rsidR="00126019" w:rsidRPr="007971BD">
        <w:rPr>
          <w:rFonts w:ascii="Sylfaen" w:eastAsia="Merriweather" w:hAnsi="Sylfaen" w:cs="Merriweather"/>
          <w:sz w:val="24"/>
          <w:szCs w:val="24"/>
          <w:lang w:val="ka-GE"/>
        </w:rPr>
        <w:t>.</w:t>
      </w:r>
      <w:r w:rsidRPr="007971BD">
        <w:rPr>
          <w:rFonts w:ascii="Sylfaen" w:eastAsia="Merriweather" w:hAnsi="Sylfaen" w:cs="Merriweather"/>
          <w:sz w:val="24"/>
          <w:szCs w:val="24"/>
          <w:lang w:val="ka-GE"/>
        </w:rPr>
        <w:t>“</w:t>
      </w:r>
      <w:r w:rsidR="0071708F" w:rsidRPr="007971BD">
        <w:rPr>
          <w:rStyle w:val="FootnoteReference"/>
          <w:rFonts w:ascii="Sylfaen" w:eastAsia="Merriweather" w:hAnsi="Sylfaen" w:cs="Merriweather"/>
          <w:sz w:val="24"/>
          <w:szCs w:val="24"/>
          <w:lang w:val="ka-GE"/>
        </w:rPr>
        <w:footnoteReference w:id="1"/>
      </w:r>
      <w:r w:rsidRPr="007971BD">
        <w:rPr>
          <w:rFonts w:ascii="Sylfaen" w:eastAsia="Merriweather" w:hAnsi="Sylfaen" w:cs="Merriweather"/>
          <w:sz w:val="24"/>
          <w:szCs w:val="24"/>
          <w:lang w:val="ka-GE"/>
        </w:rPr>
        <w:t xml:space="preserve"> </w:t>
      </w:r>
      <w:r w:rsidR="004B0CF9" w:rsidRPr="007971BD">
        <w:rPr>
          <w:rStyle w:val="FootnoteReference"/>
          <w:rFonts w:ascii="Sylfaen" w:eastAsia="Merriweather" w:hAnsi="Sylfaen" w:cs="Merriweather"/>
          <w:sz w:val="24"/>
          <w:szCs w:val="24"/>
          <w:lang w:val="ka-GE"/>
        </w:rPr>
        <w:t xml:space="preserve"> </w:t>
      </w:r>
      <w:r w:rsidR="0034676C" w:rsidRPr="007971BD">
        <w:rPr>
          <w:rFonts w:ascii="Sylfaen" w:eastAsia="Merriweather" w:hAnsi="Sylfaen" w:cs="Merriweather"/>
          <w:sz w:val="24"/>
          <w:szCs w:val="24"/>
          <w:lang w:val="ka-GE"/>
        </w:rPr>
        <w:t>(</w:t>
      </w:r>
      <w:r w:rsidR="00126019" w:rsidRPr="007971BD">
        <w:rPr>
          <w:rFonts w:ascii="Sylfaen" w:eastAsia="Merriweather" w:hAnsi="Sylfaen" w:cs="Merriweather"/>
          <w:sz w:val="24"/>
          <w:szCs w:val="24"/>
          <w:lang w:val="ka-GE"/>
        </w:rPr>
        <w:t xml:space="preserve">იხ. სამოტივაციო ნაწილის </w:t>
      </w:r>
      <w:r w:rsidR="0034676C" w:rsidRPr="007971BD">
        <w:rPr>
          <w:rFonts w:ascii="Sylfaen" w:eastAsia="Merriweather" w:hAnsi="Sylfaen" w:cs="Merriweather"/>
          <w:sz w:val="24"/>
          <w:szCs w:val="24"/>
          <w:lang w:val="ka-GE"/>
        </w:rPr>
        <w:t>43</w:t>
      </w:r>
      <w:r w:rsidR="00126019" w:rsidRPr="007971BD">
        <w:rPr>
          <w:rFonts w:ascii="Sylfaen" w:eastAsia="Merriweather" w:hAnsi="Sylfaen" w:cs="Merriweather"/>
          <w:sz w:val="24"/>
          <w:szCs w:val="24"/>
          <w:lang w:val="ka-GE"/>
        </w:rPr>
        <w:t>-ე პუნქტი</w:t>
      </w:r>
      <w:r w:rsidR="0034676C" w:rsidRPr="007971BD">
        <w:rPr>
          <w:rFonts w:ascii="Sylfaen" w:eastAsia="Merriweather" w:hAnsi="Sylfaen" w:cs="Merriweather"/>
          <w:sz w:val="24"/>
          <w:szCs w:val="24"/>
          <w:lang w:val="ka-GE"/>
        </w:rPr>
        <w:t>)</w:t>
      </w:r>
      <w:r w:rsidR="00126019" w:rsidRPr="007971BD">
        <w:rPr>
          <w:rFonts w:ascii="Sylfaen" w:eastAsia="Merriweather" w:hAnsi="Sylfaen" w:cs="Merriweather"/>
          <w:sz w:val="24"/>
          <w:szCs w:val="24"/>
          <w:lang w:val="ka-GE"/>
        </w:rPr>
        <w:t>.</w:t>
      </w:r>
      <w:r w:rsidR="0071708F" w:rsidRPr="007971BD">
        <w:rPr>
          <w:rFonts w:ascii="Sylfaen" w:eastAsia="Merriweather" w:hAnsi="Sylfaen" w:cs="Merriweather"/>
          <w:sz w:val="24"/>
          <w:szCs w:val="24"/>
          <w:lang w:val="ka-GE"/>
        </w:rPr>
        <w:t xml:space="preserve"> </w:t>
      </w:r>
      <w:r w:rsidR="009A0459" w:rsidRPr="007971BD">
        <w:rPr>
          <w:rFonts w:ascii="Sylfaen" w:eastAsia="Merriweather" w:hAnsi="Sylfaen" w:cs="Merriweather"/>
          <w:sz w:val="24"/>
          <w:szCs w:val="24"/>
          <w:lang w:val="ka-GE"/>
        </w:rPr>
        <w:t xml:space="preserve">მანვე </w:t>
      </w:r>
      <w:r w:rsidR="0071708F" w:rsidRPr="007971BD">
        <w:rPr>
          <w:rFonts w:ascii="Sylfaen" w:eastAsia="Merriweather" w:hAnsi="Sylfaen" w:cs="Merriweather"/>
          <w:sz w:val="24"/>
          <w:szCs w:val="24"/>
          <w:lang w:val="ka-GE"/>
        </w:rPr>
        <w:t>მიუთითა</w:t>
      </w:r>
      <w:r w:rsidR="00126019" w:rsidRPr="007971BD">
        <w:rPr>
          <w:rFonts w:ascii="Sylfaen" w:eastAsia="Merriweather" w:hAnsi="Sylfaen" w:cs="Merriweather"/>
          <w:sz w:val="24"/>
          <w:szCs w:val="24"/>
          <w:lang w:val="ka-GE"/>
        </w:rPr>
        <w:t xml:space="preserve">: </w:t>
      </w:r>
      <w:r w:rsidR="0071708F" w:rsidRPr="007971BD">
        <w:rPr>
          <w:rFonts w:ascii="Sylfaen" w:eastAsia="Merriweather" w:hAnsi="Sylfaen" w:cs="Merriweather"/>
          <w:sz w:val="24"/>
          <w:szCs w:val="24"/>
          <w:lang w:val="ka-GE"/>
        </w:rPr>
        <w:t xml:space="preserve">„ის ფაქტი, რომ ზოგადად ასაკის მატების </w:t>
      </w:r>
      <w:r w:rsidR="009A0459" w:rsidRPr="007971BD">
        <w:rPr>
          <w:rFonts w:ascii="Sylfaen" w:eastAsia="Merriweather" w:hAnsi="Sylfaen" w:cs="Merriweather"/>
          <w:sz w:val="24"/>
          <w:szCs w:val="24"/>
          <w:lang w:val="ka-GE"/>
        </w:rPr>
        <w:t>თანმდევ</w:t>
      </w:r>
      <w:r w:rsidR="0071708F" w:rsidRPr="007971BD">
        <w:rPr>
          <w:rFonts w:ascii="Sylfaen" w:eastAsia="Merriweather" w:hAnsi="Sylfaen" w:cs="Merriweather"/>
          <w:sz w:val="24"/>
          <w:szCs w:val="24"/>
          <w:lang w:val="ka-GE"/>
        </w:rPr>
        <w:t xml:space="preserve"> </w:t>
      </w:r>
      <w:r w:rsidR="009A0459" w:rsidRPr="007971BD">
        <w:rPr>
          <w:rFonts w:ascii="Sylfaen" w:eastAsia="Merriweather" w:hAnsi="Sylfaen" w:cs="Merriweather"/>
          <w:sz w:val="24"/>
          <w:szCs w:val="24"/>
          <w:lang w:val="ka-GE"/>
        </w:rPr>
        <w:t>შედეგს წარმოადგენდა</w:t>
      </w:r>
      <w:r w:rsidR="0071708F" w:rsidRPr="007971BD">
        <w:rPr>
          <w:rFonts w:ascii="Sylfaen" w:eastAsia="Merriweather" w:hAnsi="Sylfaen" w:cs="Merriweather"/>
          <w:sz w:val="24"/>
          <w:szCs w:val="24"/>
          <w:lang w:val="ka-GE"/>
        </w:rPr>
        <w:t xml:space="preserve"> ადამიანის ფიზიკური ამტანობის შესუსტება და გარკვეული უნარების დაქვეითება, თავისთავად, ვერ გახდებოდა ასაკთან დაკავშირებული ნებისმიერი ბლანკეტური შეზღუდვის დაწესების თვითკმარი </w:t>
      </w:r>
      <w:r w:rsidR="009A0459" w:rsidRPr="007971BD">
        <w:rPr>
          <w:rFonts w:ascii="Sylfaen" w:eastAsia="Merriweather" w:hAnsi="Sylfaen" w:cs="Merriweather"/>
          <w:sz w:val="24"/>
          <w:szCs w:val="24"/>
          <w:lang w:val="ka-GE"/>
        </w:rPr>
        <w:t>საფუძველი</w:t>
      </w:r>
      <w:r w:rsidR="00126019" w:rsidRPr="007971BD">
        <w:rPr>
          <w:rFonts w:ascii="Sylfaen" w:eastAsia="Merriweather" w:hAnsi="Sylfaen" w:cs="Merriweather"/>
          <w:sz w:val="24"/>
          <w:szCs w:val="24"/>
          <w:lang w:val="ka-GE"/>
        </w:rPr>
        <w:t>.</w:t>
      </w:r>
      <w:r w:rsidR="0071708F" w:rsidRPr="007971BD">
        <w:rPr>
          <w:rStyle w:val="FootnoteReference"/>
          <w:rFonts w:ascii="Sylfaen" w:eastAsia="Merriweather" w:hAnsi="Sylfaen" w:cs="Merriweather"/>
          <w:sz w:val="24"/>
          <w:szCs w:val="24"/>
          <w:lang w:val="ka-GE"/>
        </w:rPr>
        <w:footnoteReference w:id="2"/>
      </w:r>
      <w:r w:rsidR="009A0459" w:rsidRPr="007971BD">
        <w:rPr>
          <w:rFonts w:ascii="Sylfaen" w:eastAsia="Merriweather" w:hAnsi="Sylfaen" w:cs="Merriweather"/>
          <w:sz w:val="24"/>
          <w:szCs w:val="24"/>
          <w:lang w:val="ka-GE"/>
        </w:rPr>
        <w:t xml:space="preserve"> </w:t>
      </w:r>
      <w:r w:rsidR="00126019" w:rsidRPr="007971BD">
        <w:rPr>
          <w:rFonts w:ascii="Sylfaen" w:eastAsia="Merriweather" w:hAnsi="Sylfaen" w:cs="Merriweather"/>
          <w:sz w:val="24"/>
          <w:szCs w:val="24"/>
          <w:lang w:val="ka-GE"/>
        </w:rPr>
        <w:t xml:space="preserve">(იხ. სამოტივაციო ნაწილის 43-ე პუნქტი). </w:t>
      </w:r>
    </w:p>
    <w:p w14:paraId="280517C8" w14:textId="020395A8" w:rsidR="00126019" w:rsidRPr="007971BD" w:rsidRDefault="005E23AF"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eastAsia="Merriweather" w:hAnsi="Sylfaen" w:cs="Merriweather"/>
          <w:sz w:val="24"/>
          <w:szCs w:val="24"/>
          <w:lang w:val="ka-GE"/>
        </w:rPr>
        <w:t>მეორე მხრივ,</w:t>
      </w:r>
      <w:r w:rsidR="006F6395" w:rsidRPr="007971BD">
        <w:rPr>
          <w:rFonts w:ascii="Sylfaen" w:eastAsia="Merriweather" w:hAnsi="Sylfaen" w:cs="Merriweather"/>
          <w:sz w:val="24"/>
          <w:szCs w:val="24"/>
          <w:lang w:val="ka-GE"/>
        </w:rPr>
        <w:t xml:space="preserve"> სასამართლომ, პრაქტიკულად, ამ მიდგომის საპირისპიროდ იმოქმედა.</w:t>
      </w:r>
      <w:r w:rsidR="00126019" w:rsidRPr="007971BD">
        <w:rPr>
          <w:rFonts w:ascii="Sylfaen" w:eastAsia="Merriweather" w:hAnsi="Sylfaen" w:cs="Merriweather"/>
          <w:sz w:val="24"/>
          <w:szCs w:val="24"/>
          <w:lang w:val="ka-GE"/>
        </w:rPr>
        <w:t xml:space="preserve"> </w:t>
      </w:r>
      <w:r w:rsidR="006F6395" w:rsidRPr="007971BD">
        <w:rPr>
          <w:rFonts w:ascii="Sylfaen" w:eastAsia="Merriweather" w:hAnsi="Sylfaen" w:cs="Merriweather"/>
          <w:sz w:val="24"/>
          <w:szCs w:val="24"/>
          <w:lang w:val="ka-GE"/>
        </w:rPr>
        <w:t xml:space="preserve">კერძოდ, </w:t>
      </w:r>
      <w:r w:rsidR="00126019" w:rsidRPr="007971BD">
        <w:rPr>
          <w:rFonts w:ascii="Sylfaen" w:eastAsia="Merriweather" w:hAnsi="Sylfaen" w:cs="Merriweather"/>
          <w:sz w:val="24"/>
          <w:szCs w:val="24"/>
          <w:lang w:val="ka-GE"/>
        </w:rPr>
        <w:t xml:space="preserve">სასამართლოს პოზიციით, </w:t>
      </w:r>
      <w:r w:rsidRPr="007971BD">
        <w:rPr>
          <w:rFonts w:ascii="Sylfaen" w:eastAsia="Merriweather" w:hAnsi="Sylfaen" w:cs="Merriweather"/>
          <w:sz w:val="24"/>
          <w:szCs w:val="24"/>
          <w:lang w:val="ka-GE"/>
        </w:rPr>
        <w:t>საქმეზე წარმოდგენილი მტკიცებულებებით, არ დასტურდებოდა</w:t>
      </w:r>
      <w:r w:rsidR="004B0CF9" w:rsidRPr="007971BD">
        <w:rPr>
          <w:rFonts w:ascii="Sylfaen" w:eastAsia="Merriweather" w:hAnsi="Sylfaen" w:cs="Merriweather"/>
          <w:sz w:val="24"/>
          <w:szCs w:val="24"/>
          <w:lang w:val="ka-GE"/>
        </w:rPr>
        <w:t>,</w:t>
      </w:r>
      <w:r w:rsidRPr="007971BD">
        <w:rPr>
          <w:rFonts w:ascii="Sylfaen" w:eastAsia="Merriweather" w:hAnsi="Sylfaen" w:cs="Merriweather"/>
          <w:sz w:val="24"/>
          <w:szCs w:val="24"/>
          <w:lang w:val="ka-GE"/>
        </w:rPr>
        <w:t xml:space="preserve"> რომ 65 წლის ასაკს მიღწეულ პირთა უმრავლესობას ექნებ</w:t>
      </w:r>
      <w:r w:rsidR="009A0459" w:rsidRPr="007971BD">
        <w:rPr>
          <w:rFonts w:ascii="Sylfaen" w:eastAsia="Merriweather" w:hAnsi="Sylfaen" w:cs="Merriweather"/>
          <w:sz w:val="24"/>
          <w:szCs w:val="24"/>
          <w:lang w:val="ka-GE"/>
        </w:rPr>
        <w:t>ოდ</w:t>
      </w:r>
      <w:r w:rsidRPr="007971BD">
        <w:rPr>
          <w:rFonts w:ascii="Sylfaen" w:eastAsia="Merriweather" w:hAnsi="Sylfaen" w:cs="Merriweather"/>
          <w:sz w:val="24"/>
          <w:szCs w:val="24"/>
          <w:lang w:val="ka-GE"/>
        </w:rPr>
        <w:t xml:space="preserve">ა იმგვარი ფიზიკური უნარები/მონაცემები და ჯანმრთელობის მდგომარეობა, რომელიც შეუძლებელს </w:t>
      </w:r>
      <w:r w:rsidR="009A0459" w:rsidRPr="007971BD">
        <w:rPr>
          <w:rFonts w:ascii="Sylfaen" w:eastAsia="Merriweather" w:hAnsi="Sylfaen" w:cs="Merriweather"/>
          <w:sz w:val="24"/>
          <w:szCs w:val="24"/>
          <w:lang w:val="ka-GE"/>
        </w:rPr>
        <w:t>გახდიდა</w:t>
      </w:r>
      <w:r w:rsidRPr="007971BD">
        <w:rPr>
          <w:rFonts w:ascii="Sylfaen" w:eastAsia="Merriweather" w:hAnsi="Sylfaen" w:cs="Merriweather"/>
          <w:sz w:val="24"/>
          <w:szCs w:val="24"/>
          <w:lang w:val="ka-GE"/>
        </w:rPr>
        <w:t xml:space="preserve"> მათ მიერ სამოსამართლო ფუნქციების ჯეროვნად განხორციელებას.</w:t>
      </w:r>
      <w:r w:rsidR="00861711" w:rsidRPr="007971BD">
        <w:rPr>
          <w:rFonts w:ascii="Sylfaen" w:eastAsia="Merriweather" w:hAnsi="Sylfaen" w:cs="Merriweather"/>
          <w:sz w:val="24"/>
          <w:szCs w:val="24"/>
        </w:rPr>
        <w:t xml:space="preserve"> </w:t>
      </w:r>
      <w:r w:rsidR="005A2A1F" w:rsidRPr="007971BD">
        <w:rPr>
          <w:rFonts w:ascii="Sylfaen" w:eastAsia="Merriweather" w:hAnsi="Sylfaen" w:cs="Merriweather"/>
          <w:sz w:val="24"/>
          <w:szCs w:val="24"/>
          <w:lang w:val="ka-GE"/>
        </w:rPr>
        <w:t>თუმცა</w:t>
      </w:r>
      <w:r w:rsidR="00FE09E3">
        <w:rPr>
          <w:rFonts w:ascii="Sylfaen" w:eastAsia="Merriweather" w:hAnsi="Sylfaen" w:cs="Merriweather"/>
          <w:sz w:val="24"/>
          <w:szCs w:val="24"/>
          <w:lang w:val="ka-GE"/>
        </w:rPr>
        <w:t xml:space="preserve"> მიუთითა იმ უდავო გარემოებაზე</w:t>
      </w:r>
      <w:r w:rsidR="006F6395" w:rsidRPr="007971BD">
        <w:rPr>
          <w:rFonts w:ascii="Sylfaen" w:eastAsia="Merriweather" w:hAnsi="Sylfaen" w:cs="Merriweather"/>
          <w:sz w:val="24"/>
          <w:szCs w:val="24"/>
          <w:lang w:val="ka-GE"/>
        </w:rPr>
        <w:t>, რომ</w:t>
      </w:r>
      <w:r w:rsidR="005A2A1F" w:rsidRPr="007971BD">
        <w:rPr>
          <w:rFonts w:ascii="Sylfaen" w:eastAsia="Merriweather" w:hAnsi="Sylfaen" w:cs="Merriweather"/>
          <w:sz w:val="24"/>
          <w:szCs w:val="24"/>
          <w:lang w:val="ka-GE"/>
        </w:rPr>
        <w:t xml:space="preserve"> რომ ასაკის მატებასთან ერთად ხდებოდა ადამიანის შრომითი უნარების დაქვეითება, შესაბამისად, იზრდებოდა რისკი, რომ </w:t>
      </w:r>
      <w:r w:rsidR="005A2A1F" w:rsidRPr="00B163BE">
        <w:rPr>
          <w:rFonts w:ascii="Sylfaen" w:eastAsia="Merriweather" w:hAnsi="Sylfaen" w:cs="Merriweather"/>
          <w:b/>
          <w:sz w:val="24"/>
          <w:szCs w:val="24"/>
          <w:lang w:val="ka-GE"/>
        </w:rPr>
        <w:t>მოსამართლეთა ნაწილი</w:t>
      </w:r>
      <w:r w:rsidR="005A2A1F" w:rsidRPr="007971BD">
        <w:rPr>
          <w:rFonts w:ascii="Sylfaen" w:eastAsia="Merriweather" w:hAnsi="Sylfaen" w:cs="Merriweather"/>
          <w:sz w:val="24"/>
          <w:szCs w:val="24"/>
          <w:lang w:val="ka-GE"/>
        </w:rPr>
        <w:t xml:space="preserve"> </w:t>
      </w:r>
      <w:r w:rsidR="009A0459" w:rsidRPr="007971BD">
        <w:rPr>
          <w:rFonts w:ascii="Sylfaen" w:eastAsia="Merriweather" w:hAnsi="Sylfaen" w:cs="Merriweather"/>
          <w:sz w:val="24"/>
          <w:szCs w:val="24"/>
          <w:lang w:val="ka-GE"/>
        </w:rPr>
        <w:t xml:space="preserve">(ხაზგასმა ჩემია) </w:t>
      </w:r>
      <w:r w:rsidR="005A2A1F" w:rsidRPr="007971BD">
        <w:rPr>
          <w:rFonts w:ascii="Sylfaen" w:eastAsia="Merriweather" w:hAnsi="Sylfaen" w:cs="Merriweather"/>
          <w:sz w:val="24"/>
          <w:szCs w:val="24"/>
          <w:lang w:val="ka-GE"/>
        </w:rPr>
        <w:t>ვერ შეძლებდა ფუნქციის სათანადოდ შესრულებას.</w:t>
      </w:r>
      <w:r w:rsidR="00126019" w:rsidRPr="007971BD">
        <w:rPr>
          <w:rFonts w:ascii="Sylfaen" w:eastAsia="Merriweather" w:hAnsi="Sylfaen" w:cs="Merriweather"/>
          <w:sz w:val="24"/>
          <w:szCs w:val="24"/>
          <w:lang w:val="ka-GE"/>
        </w:rPr>
        <w:t xml:space="preserve"> (იხ. სამოტივაციო ნაწილის </w:t>
      </w:r>
      <w:r w:rsidR="00313CD3" w:rsidRPr="007971BD">
        <w:rPr>
          <w:rFonts w:ascii="Sylfaen" w:eastAsia="Merriweather" w:hAnsi="Sylfaen" w:cs="Merriweather"/>
          <w:sz w:val="24"/>
          <w:szCs w:val="24"/>
        </w:rPr>
        <w:t>46</w:t>
      </w:r>
      <w:r w:rsidR="00126019" w:rsidRPr="007971BD">
        <w:rPr>
          <w:rFonts w:ascii="Sylfaen" w:eastAsia="Merriweather" w:hAnsi="Sylfaen" w:cs="Merriweather"/>
          <w:sz w:val="24"/>
          <w:szCs w:val="24"/>
        </w:rPr>
        <w:t>-ე პუნქტი</w:t>
      </w:r>
      <w:r w:rsidR="00313CD3" w:rsidRPr="007971BD">
        <w:rPr>
          <w:rFonts w:ascii="Sylfaen" w:eastAsia="Merriweather" w:hAnsi="Sylfaen" w:cs="Merriweather"/>
          <w:sz w:val="24"/>
          <w:szCs w:val="24"/>
        </w:rPr>
        <w:t>)</w:t>
      </w:r>
      <w:r w:rsidR="00CB41CB" w:rsidRPr="007971BD">
        <w:rPr>
          <w:rFonts w:ascii="Sylfaen" w:eastAsia="Merriweather" w:hAnsi="Sylfaen" w:cs="Merriweather"/>
          <w:sz w:val="24"/>
          <w:szCs w:val="24"/>
          <w:lang w:val="ka-GE"/>
        </w:rPr>
        <w:t>.</w:t>
      </w:r>
      <w:r w:rsidR="00331E7C" w:rsidRPr="007971BD">
        <w:rPr>
          <w:rFonts w:ascii="Sylfaen" w:eastAsia="Merriweather" w:hAnsi="Sylfaen" w:cs="Merriweather"/>
          <w:sz w:val="24"/>
          <w:szCs w:val="24"/>
          <w:lang w:val="ka-GE"/>
        </w:rPr>
        <w:t xml:space="preserve"> </w:t>
      </w:r>
      <w:r w:rsidR="00CA58D2" w:rsidRPr="007971BD">
        <w:rPr>
          <w:rFonts w:ascii="Sylfaen" w:eastAsia="Merriweather" w:hAnsi="Sylfaen" w:cs="Merriweather"/>
          <w:sz w:val="24"/>
          <w:szCs w:val="24"/>
          <w:lang w:val="ka-GE"/>
        </w:rPr>
        <w:t>საბოლოო ჯამში, მან დადგენილად მიიჩნია</w:t>
      </w:r>
      <w:r w:rsidR="00B74E0A">
        <w:rPr>
          <w:rFonts w:ascii="Sylfaen" w:eastAsia="Merriweather" w:hAnsi="Sylfaen" w:cs="Merriweather"/>
          <w:sz w:val="24"/>
          <w:szCs w:val="24"/>
          <w:lang w:val="ka-GE"/>
        </w:rPr>
        <w:t xml:space="preserve"> შემდეგი გარემოება:</w:t>
      </w:r>
      <w:r w:rsidR="00CA58D2" w:rsidRPr="007971BD">
        <w:rPr>
          <w:rFonts w:ascii="Sylfaen" w:eastAsia="Merriweather" w:hAnsi="Sylfaen" w:cs="Merriweather"/>
          <w:sz w:val="24"/>
          <w:szCs w:val="24"/>
          <w:lang w:val="ka-GE"/>
        </w:rPr>
        <w:t xml:space="preserve"> ვინაიდან </w:t>
      </w:r>
      <w:r w:rsidR="00CB41CB" w:rsidRPr="007971BD">
        <w:rPr>
          <w:rFonts w:ascii="Sylfaen" w:eastAsia="Merriweather" w:hAnsi="Sylfaen" w:cs="Merriweather"/>
          <w:sz w:val="24"/>
          <w:szCs w:val="24"/>
          <w:lang w:val="ka-GE"/>
        </w:rPr>
        <w:t>65 წელი,</w:t>
      </w:r>
      <w:r w:rsidR="00BC41FE" w:rsidRPr="007971BD">
        <w:rPr>
          <w:rFonts w:ascii="Sylfaen" w:eastAsia="Merriweather" w:hAnsi="Sylfaen" w:cs="Merriweather"/>
          <w:sz w:val="24"/>
          <w:szCs w:val="24"/>
          <w:lang w:val="ka-GE"/>
        </w:rPr>
        <w:t xml:space="preserve"> მეცნიერულად, უკვე </w:t>
      </w:r>
      <w:r w:rsidR="00CA58D2" w:rsidRPr="007971BD">
        <w:rPr>
          <w:rFonts w:ascii="Sylfaen" w:eastAsia="Merriweather" w:hAnsi="Sylfaen" w:cs="Merriweather"/>
          <w:sz w:val="24"/>
          <w:szCs w:val="24"/>
          <w:lang w:val="ka-GE"/>
        </w:rPr>
        <w:t>მიიჩნეოდა</w:t>
      </w:r>
      <w:r w:rsidR="00BC41FE" w:rsidRPr="007971BD">
        <w:rPr>
          <w:rFonts w:ascii="Sylfaen" w:eastAsia="Merriweather" w:hAnsi="Sylfaen" w:cs="Merriweather"/>
          <w:sz w:val="24"/>
          <w:szCs w:val="24"/>
          <w:lang w:val="ka-GE"/>
        </w:rPr>
        <w:t xml:space="preserve"> გერიატრიული ასაკის დასაწყისად, გო</w:t>
      </w:r>
      <w:r w:rsidR="00CA58D2" w:rsidRPr="007971BD">
        <w:rPr>
          <w:rFonts w:ascii="Sylfaen" w:eastAsia="Merriweather" w:hAnsi="Sylfaen" w:cs="Merriweather"/>
          <w:sz w:val="24"/>
          <w:szCs w:val="24"/>
          <w:lang w:val="ka-GE"/>
        </w:rPr>
        <w:t>ნივრული იყო</w:t>
      </w:r>
      <w:r w:rsidR="00BC41FE" w:rsidRPr="007971BD">
        <w:rPr>
          <w:rFonts w:ascii="Sylfaen" w:eastAsia="Merriweather" w:hAnsi="Sylfaen" w:cs="Merriweather"/>
          <w:sz w:val="24"/>
          <w:szCs w:val="24"/>
          <w:lang w:val="ka-GE"/>
        </w:rPr>
        <w:t xml:space="preserve"> იმის დაშვება, რომ</w:t>
      </w:r>
      <w:r w:rsidR="00CB41CB" w:rsidRPr="007971BD">
        <w:rPr>
          <w:rFonts w:ascii="Sylfaen" w:eastAsia="Merriweather" w:hAnsi="Sylfaen" w:cs="Merriweather"/>
          <w:sz w:val="24"/>
          <w:szCs w:val="24"/>
          <w:lang w:val="ka-GE"/>
        </w:rPr>
        <w:t xml:space="preserve"> </w:t>
      </w:r>
      <w:r w:rsidR="00CB41CB" w:rsidRPr="007971BD">
        <w:rPr>
          <w:rFonts w:ascii="Sylfaen" w:eastAsia="Merriweather" w:hAnsi="Sylfaen" w:cs="Merriweather"/>
          <w:sz w:val="24"/>
          <w:szCs w:val="24"/>
          <w:lang w:val="ka-GE"/>
        </w:rPr>
        <w:lastRenderedPageBreak/>
        <w:t>ამ ასაკის</w:t>
      </w:r>
      <w:r w:rsidR="00BC41FE" w:rsidRPr="007971BD">
        <w:rPr>
          <w:rFonts w:ascii="Sylfaen" w:eastAsia="Merriweather" w:hAnsi="Sylfaen" w:cs="Merriweather"/>
          <w:sz w:val="24"/>
          <w:szCs w:val="24"/>
          <w:lang w:val="ka-GE"/>
        </w:rPr>
        <w:t xml:space="preserve"> მიღწევის შემდეგ მოსამართლეების ნაწილი ვერ </w:t>
      </w:r>
      <w:r w:rsidR="00CA58D2" w:rsidRPr="007971BD">
        <w:rPr>
          <w:rFonts w:ascii="Sylfaen" w:eastAsia="Merriweather" w:hAnsi="Sylfaen" w:cs="Merriweather"/>
          <w:sz w:val="24"/>
          <w:szCs w:val="24"/>
          <w:lang w:val="ka-GE"/>
        </w:rPr>
        <w:t xml:space="preserve">შეძლებდა </w:t>
      </w:r>
      <w:r w:rsidR="00BC41FE" w:rsidRPr="007971BD">
        <w:rPr>
          <w:rFonts w:ascii="Sylfaen" w:eastAsia="Merriweather" w:hAnsi="Sylfaen" w:cs="Merriweather"/>
          <w:sz w:val="24"/>
          <w:szCs w:val="24"/>
          <w:lang w:val="ka-GE"/>
        </w:rPr>
        <w:t>საქმიანობის სათანადოდ განხორციელებას (</w:t>
      </w:r>
      <w:r w:rsidR="00126019" w:rsidRPr="007971BD">
        <w:rPr>
          <w:rFonts w:ascii="Sylfaen" w:eastAsia="Merriweather" w:hAnsi="Sylfaen" w:cs="Merriweather"/>
          <w:sz w:val="24"/>
          <w:szCs w:val="24"/>
          <w:lang w:val="ka-GE"/>
        </w:rPr>
        <w:t xml:space="preserve">იხ. სამოტივაციო ნაწილის </w:t>
      </w:r>
      <w:r w:rsidR="00BC41FE" w:rsidRPr="007971BD">
        <w:rPr>
          <w:rFonts w:ascii="Sylfaen" w:eastAsia="Merriweather" w:hAnsi="Sylfaen" w:cs="Merriweather"/>
          <w:sz w:val="24"/>
          <w:szCs w:val="24"/>
          <w:lang w:val="ka-GE"/>
        </w:rPr>
        <w:t>56</w:t>
      </w:r>
      <w:r w:rsidR="00126019" w:rsidRPr="007971BD">
        <w:rPr>
          <w:rFonts w:ascii="Sylfaen" w:eastAsia="Merriweather" w:hAnsi="Sylfaen" w:cs="Merriweather"/>
          <w:sz w:val="24"/>
          <w:szCs w:val="24"/>
          <w:lang w:val="ka-GE"/>
        </w:rPr>
        <w:t>-ე პუნ</w:t>
      </w:r>
      <w:r w:rsidR="00B74E0A">
        <w:rPr>
          <w:rFonts w:ascii="Sylfaen" w:eastAsia="Merriweather" w:hAnsi="Sylfaen" w:cs="Merriweather"/>
          <w:sz w:val="24"/>
          <w:szCs w:val="24"/>
          <w:lang w:val="ka-GE"/>
        </w:rPr>
        <w:t>ქ</w:t>
      </w:r>
      <w:r w:rsidR="00126019" w:rsidRPr="007971BD">
        <w:rPr>
          <w:rFonts w:ascii="Sylfaen" w:eastAsia="Merriweather" w:hAnsi="Sylfaen" w:cs="Merriweather"/>
          <w:sz w:val="24"/>
          <w:szCs w:val="24"/>
          <w:lang w:val="ka-GE"/>
        </w:rPr>
        <w:t>ტი</w:t>
      </w:r>
      <w:r w:rsidR="00BC41FE" w:rsidRPr="007971BD">
        <w:rPr>
          <w:rFonts w:ascii="Sylfaen" w:eastAsia="Merriweather" w:hAnsi="Sylfaen" w:cs="Merriweather"/>
          <w:sz w:val="24"/>
          <w:szCs w:val="24"/>
          <w:lang w:val="ka-GE"/>
        </w:rPr>
        <w:t xml:space="preserve">). </w:t>
      </w:r>
      <w:r w:rsidR="00815121" w:rsidRPr="007971BD">
        <w:rPr>
          <w:rFonts w:ascii="Sylfaen" w:eastAsia="Merriweather" w:hAnsi="Sylfaen" w:cs="Merriweather"/>
          <w:sz w:val="24"/>
          <w:szCs w:val="24"/>
          <w:lang w:val="ka-GE"/>
        </w:rPr>
        <w:t xml:space="preserve">სასამართლოს არ </w:t>
      </w:r>
      <w:r w:rsidR="00815121" w:rsidRPr="002A445F">
        <w:rPr>
          <w:rFonts w:ascii="Sylfaen" w:eastAsia="Merriweather" w:hAnsi="Sylfaen" w:cs="Merriweather"/>
          <w:sz w:val="24"/>
          <w:szCs w:val="24"/>
          <w:lang w:val="ka-GE"/>
        </w:rPr>
        <w:t>დაუზუსტებია, კერძოდ, რა პროპორციას გულისხმობდა  „მოსამართლეების ნაწილი“, რის გამოც, დებულების შინაარსი ბუნდოვანი დარჩა. თუმცა, განმარტებიდან გამომდინარე, აშკარაა, რომ მასში „მოსამართლეთა უმრავლესობა“ ნამდვილად</w:t>
      </w:r>
      <w:r w:rsidR="003E2BAC" w:rsidRPr="002A445F">
        <w:rPr>
          <w:rFonts w:ascii="Sylfaen" w:eastAsia="Merriweather" w:hAnsi="Sylfaen" w:cs="Merriweather"/>
          <w:sz w:val="24"/>
          <w:szCs w:val="24"/>
          <w:lang w:val="ka-GE"/>
        </w:rPr>
        <w:t xml:space="preserve"> არ</w:t>
      </w:r>
      <w:r w:rsidR="00815121" w:rsidRPr="002A445F">
        <w:rPr>
          <w:rFonts w:ascii="Sylfaen" w:eastAsia="Merriweather" w:hAnsi="Sylfaen" w:cs="Merriweather"/>
          <w:sz w:val="24"/>
          <w:szCs w:val="24"/>
          <w:lang w:val="ka-GE"/>
        </w:rPr>
        <w:t xml:space="preserve"> </w:t>
      </w:r>
      <w:r w:rsidR="00CB41CB" w:rsidRPr="002A445F">
        <w:rPr>
          <w:rFonts w:ascii="Sylfaen" w:eastAsia="Merriweather" w:hAnsi="Sylfaen" w:cs="Merriweather"/>
          <w:sz w:val="24"/>
          <w:szCs w:val="24"/>
          <w:lang w:val="ka-GE"/>
        </w:rPr>
        <w:t>იყო</w:t>
      </w:r>
      <w:r w:rsidR="00815121" w:rsidRPr="002A445F">
        <w:rPr>
          <w:rFonts w:ascii="Sylfaen" w:eastAsia="Merriweather" w:hAnsi="Sylfaen" w:cs="Merriweather"/>
          <w:sz w:val="24"/>
          <w:szCs w:val="24"/>
          <w:lang w:val="ka-GE"/>
        </w:rPr>
        <w:t xml:space="preserve"> </w:t>
      </w:r>
      <w:r w:rsidR="00CB41CB" w:rsidRPr="002A445F">
        <w:rPr>
          <w:rFonts w:ascii="Sylfaen" w:eastAsia="Merriweather" w:hAnsi="Sylfaen" w:cs="Merriweather"/>
          <w:sz w:val="24"/>
          <w:szCs w:val="24"/>
          <w:lang w:val="ka-GE"/>
        </w:rPr>
        <w:t>ნაგულისხმები.</w:t>
      </w:r>
      <w:r w:rsidR="00815121" w:rsidRPr="002A445F">
        <w:rPr>
          <w:rFonts w:ascii="Sylfaen" w:eastAsia="Merriweather" w:hAnsi="Sylfaen" w:cs="Merriweather"/>
          <w:sz w:val="24"/>
          <w:szCs w:val="24"/>
          <w:lang w:val="ka-GE"/>
        </w:rPr>
        <w:t xml:space="preserve"> ამგვარად,</w:t>
      </w:r>
      <w:r w:rsidR="004B0CF9" w:rsidRPr="002A445F">
        <w:rPr>
          <w:rFonts w:ascii="Sylfaen" w:eastAsia="Merriweather" w:hAnsi="Sylfaen" w:cs="Merriweather"/>
          <w:sz w:val="24"/>
          <w:szCs w:val="24"/>
          <w:lang w:val="ka-GE"/>
        </w:rPr>
        <w:t xml:space="preserve"> გამოდის, სასამართლომ თავადვე უარყო აღნიშნული ასაკობრივი შეზღუდვის რაციონალურობა</w:t>
      </w:r>
      <w:r w:rsidR="00331E7C" w:rsidRPr="002A445F">
        <w:rPr>
          <w:rFonts w:ascii="Sylfaen" w:eastAsia="Merriweather" w:hAnsi="Sylfaen" w:cs="Merriweather"/>
          <w:sz w:val="24"/>
          <w:szCs w:val="24"/>
          <w:lang w:val="ka-GE"/>
        </w:rPr>
        <w:t xml:space="preserve">, რადგან </w:t>
      </w:r>
      <w:r w:rsidR="00CA58D2" w:rsidRPr="002A445F">
        <w:rPr>
          <w:rFonts w:ascii="Sylfaen" w:eastAsia="Merriweather" w:hAnsi="Sylfaen" w:cs="Merriweather"/>
          <w:sz w:val="24"/>
          <w:szCs w:val="24"/>
          <w:lang w:val="ka-GE"/>
        </w:rPr>
        <w:t xml:space="preserve"> შრომითი უნარების დაქვეითება და სამს</w:t>
      </w:r>
      <w:r w:rsidR="00B74E0A" w:rsidRPr="002A445F">
        <w:rPr>
          <w:rFonts w:ascii="Sylfaen" w:eastAsia="Merriweather" w:hAnsi="Sylfaen" w:cs="Merriweather"/>
          <w:sz w:val="24"/>
          <w:szCs w:val="24"/>
          <w:lang w:val="ka-GE"/>
        </w:rPr>
        <w:t>ა</w:t>
      </w:r>
      <w:r w:rsidR="00CA58D2" w:rsidRPr="002A445F">
        <w:rPr>
          <w:rFonts w:ascii="Sylfaen" w:eastAsia="Merriweather" w:hAnsi="Sylfaen" w:cs="Merriweather"/>
          <w:sz w:val="24"/>
          <w:szCs w:val="24"/>
          <w:lang w:val="ka-GE"/>
        </w:rPr>
        <w:t xml:space="preserve">ხურებრივი ფუნქციების ჯეროვნად შესრულების რისკი </w:t>
      </w:r>
      <w:r w:rsidR="00D62F8D" w:rsidRPr="002A445F">
        <w:rPr>
          <w:rFonts w:ascii="Sylfaen" w:eastAsia="Merriweather" w:hAnsi="Sylfaen" w:cs="Merriweather"/>
          <w:sz w:val="24"/>
          <w:szCs w:val="24"/>
          <w:lang w:val="ka-GE"/>
        </w:rPr>
        <w:t xml:space="preserve"> </w:t>
      </w:r>
      <w:r w:rsidR="00331E7C" w:rsidRPr="002A445F">
        <w:rPr>
          <w:rFonts w:ascii="Sylfaen" w:eastAsia="Merriweather" w:hAnsi="Sylfaen" w:cs="Merriweather"/>
          <w:sz w:val="24"/>
          <w:szCs w:val="24"/>
          <w:lang w:val="ka-GE"/>
        </w:rPr>
        <w:t xml:space="preserve">„მოსამართლეთა </w:t>
      </w:r>
      <w:r w:rsidR="00CA58D2" w:rsidRPr="002A445F">
        <w:rPr>
          <w:rFonts w:ascii="Sylfaen" w:eastAsia="Merriweather" w:hAnsi="Sylfaen" w:cs="Merriweather"/>
          <w:sz w:val="24"/>
          <w:szCs w:val="24"/>
          <w:lang w:val="ka-GE"/>
        </w:rPr>
        <w:t>ნაწილს</w:t>
      </w:r>
      <w:r w:rsidR="00331E7C" w:rsidRPr="002A445F">
        <w:rPr>
          <w:rFonts w:ascii="Sylfaen" w:eastAsia="Merriweather" w:hAnsi="Sylfaen" w:cs="Merriweather"/>
          <w:sz w:val="24"/>
          <w:szCs w:val="24"/>
          <w:lang w:val="ka-GE"/>
        </w:rPr>
        <w:t>“</w:t>
      </w:r>
      <w:r w:rsidR="00CA58D2" w:rsidRPr="002A445F">
        <w:rPr>
          <w:rFonts w:ascii="Sylfaen" w:eastAsia="Merriweather" w:hAnsi="Sylfaen" w:cs="Merriweather"/>
          <w:sz w:val="24"/>
          <w:szCs w:val="24"/>
          <w:lang w:val="ka-GE"/>
        </w:rPr>
        <w:t xml:space="preserve"> დაუკავშირა და არა მათ </w:t>
      </w:r>
      <w:r w:rsidR="00E54914" w:rsidRPr="002A445F">
        <w:rPr>
          <w:rFonts w:ascii="Sylfaen" w:eastAsia="Merriweather" w:hAnsi="Sylfaen" w:cs="Merriweather"/>
          <w:sz w:val="24"/>
          <w:szCs w:val="24"/>
          <w:lang w:val="ka-GE"/>
        </w:rPr>
        <w:t xml:space="preserve">„დიდ </w:t>
      </w:r>
      <w:r w:rsidR="00CA58D2" w:rsidRPr="002A445F">
        <w:rPr>
          <w:rFonts w:ascii="Sylfaen" w:eastAsia="Merriweather" w:hAnsi="Sylfaen" w:cs="Merriweather"/>
          <w:sz w:val="24"/>
          <w:szCs w:val="24"/>
          <w:lang w:val="ka-GE"/>
        </w:rPr>
        <w:t>უმრავლესობას</w:t>
      </w:r>
      <w:r w:rsidR="00E54914" w:rsidRPr="002A445F">
        <w:rPr>
          <w:rFonts w:ascii="Sylfaen" w:eastAsia="Merriweather" w:hAnsi="Sylfaen" w:cs="Merriweather"/>
          <w:sz w:val="24"/>
          <w:szCs w:val="24"/>
          <w:lang w:val="ka-GE"/>
        </w:rPr>
        <w:t>“</w:t>
      </w:r>
      <w:r w:rsidR="00E975B8" w:rsidRPr="002A445F">
        <w:rPr>
          <w:rFonts w:ascii="Sylfaen" w:eastAsia="Merriweather" w:hAnsi="Sylfaen" w:cs="Merriweather"/>
          <w:sz w:val="24"/>
          <w:szCs w:val="24"/>
          <w:lang w:val="ka-GE"/>
        </w:rPr>
        <w:t xml:space="preserve">, და ამასთან, </w:t>
      </w:r>
      <w:r w:rsidR="00E14AD2" w:rsidRPr="002A445F">
        <w:rPr>
          <w:rFonts w:ascii="Sylfaen" w:eastAsia="Merriweather" w:hAnsi="Sylfaen" w:cs="Merriweather"/>
          <w:sz w:val="24"/>
          <w:szCs w:val="24"/>
          <w:lang w:val="ka-GE"/>
        </w:rPr>
        <w:t xml:space="preserve">დაკისრებული ფუნქციების შესრულების შეუძლებლობის </w:t>
      </w:r>
      <w:r w:rsidR="00E975B8" w:rsidRPr="002A445F">
        <w:rPr>
          <w:rFonts w:ascii="Sylfaen" w:eastAsia="Merriweather" w:hAnsi="Sylfaen" w:cs="Merriweather"/>
          <w:sz w:val="24"/>
          <w:szCs w:val="24"/>
          <w:lang w:val="ka-GE"/>
        </w:rPr>
        <w:t>ალბათობის უფრო დაბალ ხარისხს</w:t>
      </w:r>
      <w:r w:rsidR="00E14AD2" w:rsidRPr="002A445F">
        <w:rPr>
          <w:rFonts w:ascii="Sylfaen" w:eastAsia="Merriweather" w:hAnsi="Sylfaen" w:cs="Merriweather"/>
          <w:sz w:val="24"/>
          <w:szCs w:val="24"/>
          <w:lang w:val="ka-GE"/>
        </w:rPr>
        <w:t>.</w:t>
      </w:r>
      <w:r w:rsidR="00E975B8" w:rsidRPr="002A445F">
        <w:rPr>
          <w:rFonts w:ascii="Sylfaen" w:eastAsia="Merriweather" w:hAnsi="Sylfaen" w:cs="Merriweather"/>
          <w:sz w:val="24"/>
          <w:szCs w:val="24"/>
          <w:lang w:val="ka-GE"/>
        </w:rPr>
        <w:t xml:space="preserve"> </w:t>
      </w:r>
      <w:r w:rsidR="00F6336D" w:rsidRPr="002A445F">
        <w:rPr>
          <w:rFonts w:ascii="Sylfaen" w:eastAsia="Merriweather" w:hAnsi="Sylfaen" w:cs="Merriweather"/>
          <w:sz w:val="24"/>
          <w:szCs w:val="24"/>
          <w:lang w:val="ka-GE"/>
        </w:rPr>
        <w:t>საქმის განხილვის დროს არ დადასტურებულა</w:t>
      </w:r>
      <w:r w:rsidR="00E975B8" w:rsidRPr="002A445F">
        <w:rPr>
          <w:rFonts w:ascii="Sylfaen" w:eastAsia="Merriweather" w:hAnsi="Sylfaen" w:cs="Merriweather"/>
          <w:sz w:val="24"/>
          <w:szCs w:val="24"/>
          <w:lang w:val="ka-GE"/>
        </w:rPr>
        <w:t>,</w:t>
      </w:r>
      <w:r w:rsidR="00F6336D" w:rsidRPr="002A445F">
        <w:rPr>
          <w:rFonts w:ascii="Sylfaen" w:eastAsia="Merriweather" w:hAnsi="Sylfaen" w:cs="Merriweather"/>
          <w:sz w:val="24"/>
          <w:szCs w:val="24"/>
          <w:lang w:val="ka-GE"/>
        </w:rPr>
        <w:t xml:space="preserve"> რომ სახეზე იყო </w:t>
      </w:r>
      <w:r w:rsidR="003E2BAC" w:rsidRPr="002A445F">
        <w:rPr>
          <w:rFonts w:ascii="Sylfaen" w:eastAsia="Merriweather" w:hAnsi="Sylfaen" w:cs="Merriweather"/>
          <w:sz w:val="24"/>
          <w:szCs w:val="24"/>
          <w:lang w:val="ka-GE"/>
        </w:rPr>
        <w:t>სასამართლოს</w:t>
      </w:r>
      <w:r w:rsidR="00F6336D" w:rsidRPr="002A445F">
        <w:rPr>
          <w:rFonts w:ascii="Sylfaen" w:eastAsia="Merriweather" w:hAnsi="Sylfaen" w:cs="Merriweather"/>
          <w:sz w:val="24"/>
          <w:szCs w:val="24"/>
          <w:lang w:val="ka-GE"/>
        </w:rPr>
        <w:t xml:space="preserve"> მიერ დადგენილი სტანდარტი, კერძოდ ვითარება, როდესაც დადგენილია, რომ </w:t>
      </w:r>
      <w:r w:rsidR="00F6336D" w:rsidRPr="002A445F">
        <w:rPr>
          <w:rFonts w:ascii="Sylfaen" w:eastAsia="Merriweather" w:hAnsi="Sylfaen" w:cs="Merriweather"/>
          <w:b/>
          <w:sz w:val="24"/>
          <w:szCs w:val="24"/>
          <w:lang w:val="ka-GE"/>
        </w:rPr>
        <w:t xml:space="preserve"> „კონკრეტული საქმიანობის ბუნებიდან გამომდინარე, განსაზღვრული ასაკის პირთა დიდი უმრავლესობა,</w:t>
      </w:r>
      <w:r w:rsidR="009564CB" w:rsidRPr="002A445F">
        <w:rPr>
          <w:rFonts w:ascii="Sylfaen" w:eastAsia="Merriweather" w:hAnsi="Sylfaen" w:cs="Merriweather"/>
          <w:b/>
          <w:sz w:val="24"/>
          <w:szCs w:val="24"/>
          <w:lang w:val="ka-GE"/>
        </w:rPr>
        <w:t xml:space="preserve"> </w:t>
      </w:r>
      <w:r w:rsidR="00F6336D" w:rsidRPr="002A445F">
        <w:rPr>
          <w:rFonts w:ascii="Sylfaen" w:eastAsia="Merriweather" w:hAnsi="Sylfaen" w:cs="Merriweather"/>
          <w:b/>
          <w:sz w:val="24"/>
          <w:szCs w:val="24"/>
          <w:lang w:val="ka-GE"/>
        </w:rPr>
        <w:t>როგორც წესი, ვერ შეძლებდა დაკისრებული ფუნქციების შესრულებას</w:t>
      </w:r>
      <w:r w:rsidR="009564CB" w:rsidRPr="002A445F">
        <w:rPr>
          <w:rFonts w:ascii="Sylfaen" w:eastAsia="Merriweather" w:hAnsi="Sylfaen" w:cs="Merriweather"/>
          <w:b/>
          <w:sz w:val="24"/>
          <w:szCs w:val="24"/>
          <w:lang w:val="ka-GE"/>
        </w:rPr>
        <w:t>“</w:t>
      </w:r>
      <w:r w:rsidR="00F6336D" w:rsidRPr="002A445F">
        <w:rPr>
          <w:rFonts w:ascii="Sylfaen" w:eastAsia="Merriweather" w:hAnsi="Sylfaen" w:cs="Merriweather"/>
          <w:b/>
          <w:sz w:val="24"/>
          <w:szCs w:val="24"/>
          <w:lang w:val="ka-GE"/>
        </w:rPr>
        <w:t>.</w:t>
      </w:r>
      <w:r w:rsidR="00F6336D" w:rsidRPr="002A445F">
        <w:rPr>
          <w:rFonts w:ascii="Sylfaen" w:eastAsia="Merriweather" w:hAnsi="Sylfaen" w:cs="Merriweather"/>
          <w:sz w:val="24"/>
          <w:szCs w:val="24"/>
          <w:lang w:val="ka-GE"/>
        </w:rPr>
        <w:t xml:space="preserve">  </w:t>
      </w:r>
      <w:r w:rsidR="004B0CF9" w:rsidRPr="002A445F">
        <w:rPr>
          <w:rFonts w:ascii="Sylfaen" w:eastAsia="Merriweather" w:hAnsi="Sylfaen" w:cs="Merriweather"/>
          <w:sz w:val="24"/>
          <w:szCs w:val="24"/>
          <w:lang w:val="ka-GE"/>
        </w:rPr>
        <w:t xml:space="preserve">ამის მიუხედავად, მან </w:t>
      </w:r>
      <w:r w:rsidR="009A0459" w:rsidRPr="002A445F">
        <w:rPr>
          <w:rFonts w:ascii="Sylfaen" w:eastAsia="Merriweather" w:hAnsi="Sylfaen" w:cs="Merriweather"/>
          <w:sz w:val="24"/>
          <w:szCs w:val="24"/>
          <w:lang w:val="ka-GE"/>
        </w:rPr>
        <w:t>მოსამართლის სამსახურებრივი საქმიანობის გაგრძელების</w:t>
      </w:r>
      <w:r w:rsidR="00126019" w:rsidRPr="002A445F">
        <w:rPr>
          <w:rFonts w:ascii="Sylfaen" w:eastAsia="Merriweather" w:hAnsi="Sylfaen" w:cs="Merriweather"/>
          <w:sz w:val="24"/>
          <w:szCs w:val="24"/>
          <w:lang w:val="ka-GE"/>
        </w:rPr>
        <w:t xml:space="preserve"> </w:t>
      </w:r>
      <w:r w:rsidR="009A0459" w:rsidRPr="002A445F">
        <w:rPr>
          <w:rFonts w:ascii="Sylfaen" w:eastAsia="Merriweather" w:hAnsi="Sylfaen" w:cs="Merriweather"/>
          <w:sz w:val="24"/>
          <w:szCs w:val="24"/>
          <w:lang w:val="ka-GE"/>
        </w:rPr>
        <w:t xml:space="preserve">დაწესებული </w:t>
      </w:r>
      <w:r w:rsidR="00815121" w:rsidRPr="002A445F">
        <w:rPr>
          <w:rFonts w:ascii="Sylfaen" w:eastAsia="Merriweather" w:hAnsi="Sylfaen" w:cs="Merriweather"/>
          <w:sz w:val="24"/>
          <w:szCs w:val="24"/>
          <w:lang w:val="ka-GE"/>
        </w:rPr>
        <w:t xml:space="preserve"> </w:t>
      </w:r>
      <w:r w:rsidR="004B0CF9" w:rsidRPr="002A445F">
        <w:rPr>
          <w:rFonts w:ascii="Sylfaen" w:eastAsia="Merriweather" w:hAnsi="Sylfaen" w:cs="Merriweather"/>
          <w:sz w:val="24"/>
          <w:szCs w:val="24"/>
          <w:lang w:val="ka-GE"/>
        </w:rPr>
        <w:t>ასაკობრივ</w:t>
      </w:r>
      <w:r w:rsidR="00857976" w:rsidRPr="002A445F">
        <w:rPr>
          <w:rFonts w:ascii="Sylfaen" w:eastAsia="Merriweather" w:hAnsi="Sylfaen" w:cs="Merriweather"/>
          <w:sz w:val="24"/>
          <w:szCs w:val="24"/>
          <w:lang w:val="ka-GE"/>
        </w:rPr>
        <w:t>ი</w:t>
      </w:r>
      <w:r w:rsidR="004B0CF9" w:rsidRPr="002A445F">
        <w:rPr>
          <w:rFonts w:ascii="Sylfaen" w:eastAsia="Merriweather" w:hAnsi="Sylfaen" w:cs="Merriweather"/>
          <w:sz w:val="24"/>
          <w:szCs w:val="24"/>
          <w:lang w:val="ka-GE"/>
        </w:rPr>
        <w:t xml:space="preserve"> ბარიერი კონსტიტუციურად ცნო</w:t>
      </w:r>
      <w:r w:rsidR="005A2A1F" w:rsidRPr="002A445F">
        <w:rPr>
          <w:rFonts w:ascii="Sylfaen" w:eastAsia="Merriweather" w:hAnsi="Sylfaen" w:cs="Merriweather"/>
          <w:sz w:val="24"/>
          <w:szCs w:val="24"/>
          <w:lang w:val="ka-GE"/>
        </w:rPr>
        <w:t>.</w:t>
      </w:r>
      <w:r w:rsidR="009564CB" w:rsidRPr="002A445F">
        <w:rPr>
          <w:rFonts w:ascii="Sylfaen" w:eastAsia="Merriweather" w:hAnsi="Sylfaen" w:cs="Merriweather"/>
          <w:sz w:val="24"/>
          <w:szCs w:val="24"/>
          <w:lang w:val="ka-GE"/>
        </w:rPr>
        <w:t xml:space="preserve"> </w:t>
      </w:r>
      <w:r w:rsidR="00CB41CB" w:rsidRPr="002A445F">
        <w:rPr>
          <w:rFonts w:ascii="Sylfaen" w:eastAsia="Merriweather" w:hAnsi="Sylfaen" w:cs="Merriweather"/>
          <w:sz w:val="24"/>
          <w:szCs w:val="24"/>
          <w:lang w:val="ka-GE"/>
        </w:rPr>
        <w:t xml:space="preserve">ჯერ ერთი, </w:t>
      </w:r>
      <w:r w:rsidR="009564CB" w:rsidRPr="002A445F">
        <w:rPr>
          <w:rFonts w:ascii="Sylfaen" w:eastAsia="Merriweather" w:hAnsi="Sylfaen" w:cs="Merriweather"/>
          <w:sz w:val="24"/>
          <w:szCs w:val="24"/>
          <w:lang w:val="ka-GE"/>
        </w:rPr>
        <w:t>თუკი სასამართლო</w:t>
      </w:r>
      <w:r w:rsidR="00CB41CB" w:rsidRPr="002A445F">
        <w:rPr>
          <w:rFonts w:ascii="Sylfaen" w:eastAsia="Merriweather" w:hAnsi="Sylfaen" w:cs="Merriweather"/>
          <w:sz w:val="24"/>
          <w:szCs w:val="24"/>
          <w:lang w:val="ka-GE"/>
        </w:rPr>
        <w:t xml:space="preserve"> </w:t>
      </w:r>
      <w:r w:rsidR="009564CB" w:rsidRPr="002A445F">
        <w:rPr>
          <w:rFonts w:ascii="Sylfaen" w:eastAsia="Merriweather" w:hAnsi="Sylfaen" w:cs="Merriweather"/>
          <w:sz w:val="24"/>
          <w:szCs w:val="24"/>
          <w:lang w:val="ka-GE"/>
        </w:rPr>
        <w:t xml:space="preserve">ამ საკითხში დაცულობის სტანდარტს ამცირებდა საჯარო მოსამსახურეებთან ან მხოლოდ საერთო სასამართლოს მოსამართლეებთან მიმართებაში, </w:t>
      </w:r>
      <w:r w:rsidR="003E2BAC" w:rsidRPr="002A445F">
        <w:rPr>
          <w:rFonts w:ascii="Sylfaen" w:eastAsia="Merriweather" w:hAnsi="Sylfaen" w:cs="Merriweather"/>
          <w:sz w:val="24"/>
          <w:szCs w:val="24"/>
          <w:lang w:val="ka-GE"/>
        </w:rPr>
        <w:t>ამ</w:t>
      </w:r>
      <w:r w:rsidR="009564CB" w:rsidRPr="002A445F">
        <w:rPr>
          <w:rFonts w:ascii="Sylfaen" w:eastAsia="Merriweather" w:hAnsi="Sylfaen" w:cs="Merriweather"/>
          <w:sz w:val="24"/>
          <w:szCs w:val="24"/>
          <w:lang w:val="ka-GE"/>
        </w:rPr>
        <w:t xml:space="preserve"> </w:t>
      </w:r>
      <w:r w:rsidR="00CB41CB" w:rsidRPr="002A445F">
        <w:rPr>
          <w:rFonts w:ascii="Sylfaen" w:eastAsia="Merriweather" w:hAnsi="Sylfaen" w:cs="Merriweather"/>
          <w:sz w:val="24"/>
          <w:szCs w:val="24"/>
          <w:lang w:val="ka-GE"/>
        </w:rPr>
        <w:t xml:space="preserve">ცვლილების </w:t>
      </w:r>
      <w:r w:rsidR="009564CB" w:rsidRPr="002A445F">
        <w:rPr>
          <w:rFonts w:ascii="Sylfaen" w:eastAsia="Merriweather" w:hAnsi="Sylfaen" w:cs="Merriweather"/>
          <w:sz w:val="24"/>
          <w:szCs w:val="24"/>
          <w:lang w:val="ka-GE"/>
        </w:rPr>
        <w:t>საჭიროება ცალკე დ</w:t>
      </w:r>
      <w:r w:rsidR="00B74E0A" w:rsidRPr="002A445F">
        <w:rPr>
          <w:rFonts w:ascii="Sylfaen" w:eastAsia="Merriweather" w:hAnsi="Sylfaen" w:cs="Merriweather"/>
          <w:sz w:val="24"/>
          <w:szCs w:val="24"/>
          <w:lang w:val="ka-GE"/>
        </w:rPr>
        <w:t>ა</w:t>
      </w:r>
      <w:r w:rsidR="00126019" w:rsidRPr="002A445F">
        <w:rPr>
          <w:rFonts w:ascii="Sylfaen" w:eastAsia="Merriweather" w:hAnsi="Sylfaen" w:cs="Merriweather"/>
          <w:sz w:val="24"/>
          <w:szCs w:val="24"/>
          <w:lang w:val="ka-GE"/>
        </w:rPr>
        <w:t>ს</w:t>
      </w:r>
      <w:r w:rsidR="009564CB" w:rsidRPr="002A445F">
        <w:rPr>
          <w:rFonts w:ascii="Sylfaen" w:eastAsia="Merriweather" w:hAnsi="Sylfaen" w:cs="Merriweather"/>
          <w:sz w:val="24"/>
          <w:szCs w:val="24"/>
          <w:lang w:val="ka-GE"/>
        </w:rPr>
        <w:t xml:space="preserve">აბუთებას იმსახურებდა. </w:t>
      </w:r>
      <w:r w:rsidR="00CB41CB" w:rsidRPr="002A445F">
        <w:rPr>
          <w:rFonts w:ascii="Sylfaen" w:eastAsia="Merriweather" w:hAnsi="Sylfaen" w:cs="Merriweather"/>
          <w:sz w:val="24"/>
          <w:szCs w:val="24"/>
          <w:lang w:val="ka-GE"/>
        </w:rPr>
        <w:t xml:space="preserve">მეორე, საქმეც ისაა, რომ სასამართლომ </w:t>
      </w:r>
      <w:r w:rsidR="00B74E0A" w:rsidRPr="002A445F">
        <w:rPr>
          <w:rFonts w:ascii="Sylfaen" w:eastAsia="Merriweather" w:hAnsi="Sylfaen" w:cs="Merriweather"/>
          <w:b/>
          <w:sz w:val="24"/>
          <w:szCs w:val="24"/>
          <w:lang w:val="ka-GE"/>
        </w:rPr>
        <w:t>დაადასტურა</w:t>
      </w:r>
      <w:r w:rsidR="00CB41CB" w:rsidRPr="002A445F">
        <w:rPr>
          <w:rFonts w:ascii="Sylfaen" w:eastAsia="Merriweather" w:hAnsi="Sylfaen" w:cs="Merriweather"/>
          <w:b/>
          <w:sz w:val="24"/>
          <w:szCs w:val="24"/>
          <w:lang w:val="ka-GE"/>
        </w:rPr>
        <w:t xml:space="preserve">, </w:t>
      </w:r>
      <w:r w:rsidR="00126019" w:rsidRPr="002A445F">
        <w:rPr>
          <w:rFonts w:ascii="Sylfaen" w:eastAsia="Merriweather" w:hAnsi="Sylfaen" w:cs="Merriweather"/>
          <w:b/>
          <w:sz w:val="24"/>
          <w:szCs w:val="24"/>
          <w:lang w:val="ka-GE"/>
        </w:rPr>
        <w:t xml:space="preserve">რომ იგი იყენებდა </w:t>
      </w:r>
      <w:r w:rsidR="00CB41CB" w:rsidRPr="002A445F">
        <w:rPr>
          <w:rFonts w:ascii="Sylfaen" w:eastAsia="Merriweather" w:hAnsi="Sylfaen" w:cs="Merriweather"/>
          <w:b/>
          <w:sz w:val="24"/>
          <w:szCs w:val="24"/>
          <w:lang w:val="ka-GE"/>
        </w:rPr>
        <w:t>მაღალ სტანდარტს</w:t>
      </w:r>
      <w:r w:rsidR="00CB41CB" w:rsidRPr="002A445F">
        <w:rPr>
          <w:rFonts w:ascii="Sylfaen" w:eastAsia="Merriweather" w:hAnsi="Sylfaen" w:cs="Merriweather"/>
          <w:sz w:val="24"/>
          <w:szCs w:val="24"/>
          <w:lang w:val="ka-GE"/>
        </w:rPr>
        <w:t xml:space="preserve"> </w:t>
      </w:r>
      <w:r w:rsidR="00E975B8" w:rsidRPr="002A445F">
        <w:rPr>
          <w:rFonts w:ascii="Sylfaen" w:eastAsia="Merriweather" w:hAnsi="Sylfaen" w:cs="Merriweather"/>
          <w:sz w:val="24"/>
          <w:szCs w:val="24"/>
          <w:lang w:val="ka-GE"/>
        </w:rPr>
        <w:t>(როდესაც შესაბამის</w:t>
      </w:r>
      <w:r w:rsidR="00E975B8" w:rsidRPr="007971BD">
        <w:rPr>
          <w:rFonts w:ascii="Sylfaen" w:eastAsia="Merriweather" w:hAnsi="Sylfaen" w:cs="Merriweather"/>
          <w:sz w:val="24"/>
          <w:szCs w:val="24"/>
          <w:lang w:val="ka-GE"/>
        </w:rPr>
        <w:t xml:space="preserve"> პირთა დიდ უმრავლესობას როგორც წესი აღარ შეუძლია დაკისრებული ფუნქციების შესრულება) </w:t>
      </w:r>
      <w:r w:rsidR="00CB41CB" w:rsidRPr="007971BD">
        <w:rPr>
          <w:rFonts w:ascii="Sylfaen" w:eastAsia="Merriweather" w:hAnsi="Sylfaen" w:cs="Merriweather"/>
          <w:sz w:val="24"/>
          <w:szCs w:val="24"/>
          <w:lang w:val="ka-GE"/>
        </w:rPr>
        <w:t>დ</w:t>
      </w:r>
      <w:r w:rsidR="00CB41CB" w:rsidRPr="007971BD">
        <w:rPr>
          <w:rFonts w:ascii="Sylfaen" w:eastAsia="Merriweather" w:hAnsi="Sylfaen" w:cs="Merriweather"/>
          <w:b/>
          <w:sz w:val="24"/>
          <w:szCs w:val="24"/>
          <w:lang w:val="ka-GE"/>
        </w:rPr>
        <w:t>ა სინამდვილეში დაბალი სტანდარტი გამოიყენა</w:t>
      </w:r>
      <w:r w:rsidR="00E975B8" w:rsidRPr="007971BD">
        <w:rPr>
          <w:rFonts w:ascii="Sylfaen" w:eastAsia="Merriweather" w:hAnsi="Sylfaen" w:cs="Merriweather"/>
          <w:sz w:val="24"/>
          <w:szCs w:val="24"/>
          <w:lang w:val="ka-GE"/>
        </w:rPr>
        <w:t xml:space="preserve"> (როდესაც მოსამართლეთა ნაწილმა შეიძლება ვეღარ შეძლოს ამ ფუნქციების შესრულება).</w:t>
      </w:r>
    </w:p>
    <w:p w14:paraId="362B130E" w14:textId="3279DB4E" w:rsidR="00FD6087" w:rsidRPr="002A445F" w:rsidRDefault="005A2A1F"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eastAsia="Merriweather" w:hAnsi="Sylfaen" w:cs="Merriweather"/>
          <w:sz w:val="24"/>
          <w:szCs w:val="24"/>
          <w:lang w:val="ka-GE"/>
        </w:rPr>
        <w:t>გარდა იმისა, რომ</w:t>
      </w:r>
      <w:r w:rsidR="00735025" w:rsidRPr="007971BD">
        <w:rPr>
          <w:rFonts w:ascii="Sylfaen" w:eastAsia="Merriweather" w:hAnsi="Sylfaen" w:cs="Merriweather"/>
          <w:sz w:val="24"/>
          <w:szCs w:val="24"/>
          <w:lang w:val="ka-GE"/>
        </w:rPr>
        <w:t xml:space="preserve"> სასამართლომ</w:t>
      </w:r>
      <w:r w:rsidRPr="007971BD">
        <w:rPr>
          <w:rFonts w:ascii="Sylfaen" w:eastAsia="Merriweather" w:hAnsi="Sylfaen" w:cs="Merriweather"/>
          <w:sz w:val="24"/>
          <w:szCs w:val="24"/>
          <w:lang w:val="ka-GE"/>
        </w:rPr>
        <w:t xml:space="preserve"> „რაციონალურობის“ </w:t>
      </w:r>
      <w:r w:rsidR="00815121" w:rsidRPr="007971BD">
        <w:rPr>
          <w:rFonts w:ascii="Sylfaen" w:eastAsia="Merriweather" w:hAnsi="Sylfaen" w:cs="Merriweather"/>
          <w:sz w:val="24"/>
          <w:szCs w:val="24"/>
          <w:lang w:val="ka-GE"/>
        </w:rPr>
        <w:t>შინაარსი</w:t>
      </w:r>
      <w:r w:rsidR="00E54914" w:rsidRPr="007971BD">
        <w:rPr>
          <w:rFonts w:ascii="Sylfaen" w:eastAsia="Merriweather" w:hAnsi="Sylfaen" w:cs="Merriweather"/>
          <w:sz w:val="24"/>
          <w:szCs w:val="24"/>
        </w:rPr>
        <w:t xml:space="preserve"> (შესაბამისი ასაკობრივი ჯგუფის) </w:t>
      </w:r>
      <w:r w:rsidR="00B74E0A">
        <w:rPr>
          <w:rFonts w:ascii="Sylfaen" w:eastAsia="Merriweather" w:hAnsi="Sylfaen" w:cs="Merriweather"/>
          <w:sz w:val="24"/>
          <w:szCs w:val="24"/>
          <w:lang w:val="ka-GE"/>
        </w:rPr>
        <w:t>„</w:t>
      </w:r>
      <w:r w:rsidR="00E54914" w:rsidRPr="007971BD">
        <w:rPr>
          <w:rFonts w:ascii="Sylfaen" w:eastAsia="Merriweather" w:hAnsi="Sylfaen" w:cs="Merriweather"/>
          <w:sz w:val="24"/>
          <w:szCs w:val="24"/>
          <w:lang w:val="ka-GE"/>
        </w:rPr>
        <w:t xml:space="preserve">დიდი </w:t>
      </w:r>
      <w:r w:rsidR="00735025" w:rsidRPr="007971BD">
        <w:rPr>
          <w:rFonts w:ascii="Sylfaen" w:eastAsia="Merriweather" w:hAnsi="Sylfaen" w:cs="Merriweather"/>
          <w:sz w:val="24"/>
          <w:szCs w:val="24"/>
          <w:lang w:val="ka-GE"/>
        </w:rPr>
        <w:t>უმრავლესობის“ მაგივრად,</w:t>
      </w:r>
      <w:r w:rsidR="00815121" w:rsidRPr="007971BD">
        <w:rPr>
          <w:rFonts w:ascii="Sylfaen" w:eastAsia="Merriweather" w:hAnsi="Sylfaen" w:cs="Merriweather"/>
          <w:sz w:val="24"/>
          <w:szCs w:val="24"/>
          <w:lang w:val="ka-GE"/>
        </w:rPr>
        <w:t xml:space="preserve"> </w:t>
      </w:r>
      <w:r w:rsidRPr="007971BD">
        <w:rPr>
          <w:rFonts w:ascii="Sylfaen" w:eastAsia="Merriweather" w:hAnsi="Sylfaen" w:cs="Merriweather"/>
          <w:sz w:val="24"/>
          <w:szCs w:val="24"/>
          <w:lang w:val="ka-GE"/>
        </w:rPr>
        <w:t>„</w:t>
      </w:r>
      <w:r w:rsidR="00735025" w:rsidRPr="007971BD">
        <w:rPr>
          <w:rFonts w:ascii="Sylfaen" w:eastAsia="Merriweather" w:hAnsi="Sylfaen" w:cs="Merriweather"/>
          <w:sz w:val="24"/>
          <w:szCs w:val="24"/>
          <w:lang w:val="ka-GE"/>
        </w:rPr>
        <w:t>ნაწილს</w:t>
      </w:r>
      <w:r w:rsidRPr="007971BD">
        <w:rPr>
          <w:rFonts w:ascii="Sylfaen" w:eastAsia="Merriweather" w:hAnsi="Sylfaen" w:cs="Merriweather"/>
          <w:sz w:val="24"/>
          <w:szCs w:val="24"/>
          <w:lang w:val="ka-GE"/>
        </w:rPr>
        <w:t>“</w:t>
      </w:r>
      <w:r w:rsidR="00E14AD2" w:rsidRPr="007971BD">
        <w:rPr>
          <w:rFonts w:ascii="Sylfaen" w:eastAsia="Merriweather" w:hAnsi="Sylfaen" w:cs="Merriweather"/>
          <w:sz w:val="24"/>
          <w:szCs w:val="24"/>
          <w:lang w:val="ka-GE"/>
        </w:rPr>
        <w:t xml:space="preserve">, და ფუნქციების შესრულების შეუძლებლობის უფრო დაბალ ალბათობას </w:t>
      </w:r>
      <w:r w:rsidRPr="007971BD">
        <w:rPr>
          <w:rFonts w:ascii="Sylfaen" w:eastAsia="Merriweather" w:hAnsi="Sylfaen" w:cs="Merriweather"/>
          <w:sz w:val="24"/>
          <w:szCs w:val="24"/>
          <w:lang w:val="ka-GE"/>
        </w:rPr>
        <w:t xml:space="preserve"> </w:t>
      </w:r>
      <w:r w:rsidR="00735025" w:rsidRPr="007971BD">
        <w:rPr>
          <w:rFonts w:ascii="Sylfaen" w:eastAsia="Merriweather" w:hAnsi="Sylfaen" w:cs="Merriweather"/>
          <w:sz w:val="24"/>
          <w:szCs w:val="24"/>
          <w:lang w:val="ka-GE"/>
        </w:rPr>
        <w:t>დაუკავშირა, რითაც</w:t>
      </w:r>
      <w:r w:rsidRPr="007971BD">
        <w:rPr>
          <w:rFonts w:ascii="Sylfaen" w:eastAsia="Merriweather" w:hAnsi="Sylfaen" w:cs="Merriweather"/>
          <w:sz w:val="24"/>
          <w:szCs w:val="24"/>
          <w:lang w:val="ka-GE"/>
        </w:rPr>
        <w:t xml:space="preserve"> </w:t>
      </w:r>
      <w:r w:rsidR="00815121" w:rsidRPr="007971BD">
        <w:rPr>
          <w:rFonts w:ascii="Sylfaen" w:eastAsia="Merriweather" w:hAnsi="Sylfaen" w:cs="Merriweather"/>
          <w:sz w:val="24"/>
          <w:szCs w:val="24"/>
          <w:lang w:val="ka-GE"/>
        </w:rPr>
        <w:t xml:space="preserve"> </w:t>
      </w:r>
      <w:r w:rsidRPr="007971BD">
        <w:rPr>
          <w:rFonts w:ascii="Sylfaen" w:eastAsia="Merriweather" w:hAnsi="Sylfaen" w:cs="Merriweather"/>
          <w:sz w:val="24"/>
          <w:szCs w:val="24"/>
          <w:lang w:val="ka-GE"/>
        </w:rPr>
        <w:t>თავისივე მიდგომიდან ერთგვარად გადაუხვია,</w:t>
      </w:r>
      <w:r w:rsidR="00126019" w:rsidRPr="007971BD">
        <w:rPr>
          <w:rFonts w:ascii="Sylfaen" w:eastAsia="Merriweather" w:hAnsi="Sylfaen" w:cs="Merriweather"/>
          <w:sz w:val="24"/>
          <w:szCs w:val="24"/>
          <w:lang w:val="ka-GE"/>
        </w:rPr>
        <w:t xml:space="preserve"> </w:t>
      </w:r>
      <w:r w:rsidR="00B74E0A">
        <w:rPr>
          <w:rFonts w:ascii="Sylfaen" w:eastAsia="Merriweather" w:hAnsi="Sylfaen" w:cs="Merriweather"/>
          <w:sz w:val="24"/>
          <w:szCs w:val="24"/>
          <w:lang w:val="ka-GE"/>
        </w:rPr>
        <w:t xml:space="preserve">იმავდროულად </w:t>
      </w:r>
      <w:r w:rsidRPr="007971BD">
        <w:rPr>
          <w:rFonts w:ascii="Sylfaen" w:eastAsia="Merriweather" w:hAnsi="Sylfaen" w:cs="Merriweather"/>
          <w:sz w:val="24"/>
          <w:szCs w:val="24"/>
          <w:lang w:val="ka-GE"/>
        </w:rPr>
        <w:t xml:space="preserve">65 წლის საპენსიო ასაკის </w:t>
      </w:r>
      <w:r w:rsidR="0034676C" w:rsidRPr="007971BD">
        <w:rPr>
          <w:rFonts w:ascii="Sylfaen" w:eastAsia="Merriweather" w:hAnsi="Sylfaen" w:cs="Merriweather"/>
          <w:sz w:val="24"/>
          <w:szCs w:val="24"/>
          <w:lang w:val="ka-GE"/>
        </w:rPr>
        <w:t>გონივრულ</w:t>
      </w:r>
      <w:r w:rsidRPr="007971BD">
        <w:rPr>
          <w:rFonts w:ascii="Sylfaen" w:eastAsia="Merriweather" w:hAnsi="Sylfaen" w:cs="Merriweather"/>
          <w:sz w:val="24"/>
          <w:szCs w:val="24"/>
          <w:lang w:val="ka-GE"/>
        </w:rPr>
        <w:t>ობა გადაწყვეტილებაში</w:t>
      </w:r>
      <w:r w:rsidR="00B74E0A">
        <w:rPr>
          <w:rFonts w:ascii="Sylfaen" w:eastAsia="Merriweather" w:hAnsi="Sylfaen" w:cs="Merriweather"/>
          <w:sz w:val="24"/>
          <w:szCs w:val="24"/>
          <w:lang w:val="ka-GE"/>
        </w:rPr>
        <w:t xml:space="preserve"> </w:t>
      </w:r>
      <w:r w:rsidR="00735025" w:rsidRPr="007971BD">
        <w:rPr>
          <w:rFonts w:ascii="Sylfaen" w:eastAsia="Merriweather" w:hAnsi="Sylfaen" w:cs="Merriweather"/>
          <w:sz w:val="24"/>
          <w:szCs w:val="24"/>
          <w:lang w:val="ka-GE"/>
        </w:rPr>
        <w:t xml:space="preserve">სხვა </w:t>
      </w:r>
      <w:r w:rsidR="00F6336D" w:rsidRPr="007971BD">
        <w:rPr>
          <w:rFonts w:ascii="Sylfaen" w:eastAsia="Merriweather" w:hAnsi="Sylfaen" w:cs="Merriweather"/>
          <w:sz w:val="24"/>
          <w:szCs w:val="24"/>
          <w:lang w:val="ka-GE"/>
        </w:rPr>
        <w:t>არგუმენ</w:t>
      </w:r>
      <w:r w:rsidR="00735025" w:rsidRPr="007971BD">
        <w:rPr>
          <w:rFonts w:ascii="Sylfaen" w:eastAsia="Merriweather" w:hAnsi="Sylfaen" w:cs="Merriweather"/>
          <w:sz w:val="24"/>
          <w:szCs w:val="24"/>
          <w:lang w:val="ka-GE"/>
        </w:rPr>
        <w:t>ტ</w:t>
      </w:r>
      <w:r w:rsidR="00F6336D" w:rsidRPr="007971BD">
        <w:rPr>
          <w:rFonts w:ascii="Sylfaen" w:eastAsia="Merriweather" w:hAnsi="Sylfaen" w:cs="Merriweather"/>
          <w:sz w:val="24"/>
          <w:szCs w:val="24"/>
          <w:lang w:val="ka-GE"/>
        </w:rPr>
        <w:t>ე</w:t>
      </w:r>
      <w:r w:rsidR="00735025" w:rsidRPr="007971BD">
        <w:rPr>
          <w:rFonts w:ascii="Sylfaen" w:eastAsia="Merriweather" w:hAnsi="Sylfaen" w:cs="Merriweather"/>
          <w:sz w:val="24"/>
          <w:szCs w:val="24"/>
          <w:lang w:val="ka-GE"/>
        </w:rPr>
        <w:t xml:space="preserve">ბითაც ვერ გაამყარა.  </w:t>
      </w:r>
      <w:r w:rsidR="00934F85" w:rsidRPr="007971BD">
        <w:rPr>
          <w:rFonts w:ascii="Sylfaen" w:eastAsia="Merriweather" w:hAnsi="Sylfaen" w:cs="Merriweather"/>
          <w:sz w:val="24"/>
          <w:szCs w:val="24"/>
          <w:lang w:val="ka-GE"/>
        </w:rPr>
        <w:t xml:space="preserve"> </w:t>
      </w:r>
      <w:r w:rsidR="006138AD" w:rsidRPr="007971BD">
        <w:rPr>
          <w:rFonts w:ascii="Sylfaen" w:eastAsia="Merriweather" w:hAnsi="Sylfaen" w:cs="Merriweather"/>
          <w:sz w:val="24"/>
          <w:szCs w:val="24"/>
          <w:lang w:val="ka-GE"/>
        </w:rPr>
        <w:t>მართალია, საქმის არსებითი განხილვის დროს</w:t>
      </w:r>
      <w:r w:rsidR="00126019" w:rsidRPr="007971BD">
        <w:rPr>
          <w:rFonts w:ascii="Sylfaen" w:eastAsia="Merriweather" w:hAnsi="Sylfaen" w:cs="Merriweather"/>
          <w:sz w:val="24"/>
          <w:szCs w:val="24"/>
          <w:lang w:val="ka-GE"/>
        </w:rPr>
        <w:t>,</w:t>
      </w:r>
      <w:r w:rsidR="00E14AD2" w:rsidRPr="007971BD">
        <w:rPr>
          <w:rFonts w:ascii="Sylfaen" w:eastAsia="Merriweather" w:hAnsi="Sylfaen" w:cs="Merriweather"/>
          <w:sz w:val="24"/>
          <w:szCs w:val="24"/>
          <w:lang w:val="ka-GE"/>
        </w:rPr>
        <w:t xml:space="preserve">  </w:t>
      </w:r>
      <w:r w:rsidR="006138AD" w:rsidRPr="007971BD">
        <w:rPr>
          <w:rFonts w:ascii="Sylfaen" w:eastAsia="Merriweather" w:hAnsi="Sylfaen" w:cs="Merriweather"/>
          <w:sz w:val="24"/>
          <w:szCs w:val="24"/>
          <w:lang w:val="ka-GE"/>
        </w:rPr>
        <w:t>სპეციალისტის</w:t>
      </w:r>
      <w:r w:rsidR="006138AD" w:rsidRPr="007971BD">
        <w:rPr>
          <w:rStyle w:val="FootnoteReference"/>
          <w:rFonts w:ascii="Sylfaen" w:eastAsia="Merriweather" w:hAnsi="Sylfaen" w:cs="Merriweather"/>
          <w:sz w:val="24"/>
          <w:szCs w:val="24"/>
          <w:lang w:val="ka-GE"/>
        </w:rPr>
        <w:footnoteReference w:id="3"/>
      </w:r>
      <w:r w:rsidR="006138AD" w:rsidRPr="007971BD">
        <w:rPr>
          <w:rFonts w:ascii="Sylfaen" w:eastAsia="Merriweather" w:hAnsi="Sylfaen" w:cs="Merriweather"/>
          <w:sz w:val="24"/>
          <w:szCs w:val="24"/>
          <w:lang w:val="ka-GE"/>
        </w:rPr>
        <w:t xml:space="preserve"> ჩვენებით დადგინდა,  რომ გერიატრიული ასაკი 65 წლიდან იწყება</w:t>
      </w:r>
      <w:r w:rsidR="0034676C" w:rsidRPr="007971BD">
        <w:rPr>
          <w:rFonts w:ascii="Sylfaen" w:eastAsia="Merriweather" w:hAnsi="Sylfaen" w:cs="Merriweather"/>
          <w:sz w:val="24"/>
          <w:szCs w:val="24"/>
          <w:lang w:val="ka-GE"/>
        </w:rPr>
        <w:t xml:space="preserve"> და</w:t>
      </w:r>
      <w:r w:rsidR="006138AD" w:rsidRPr="007971BD">
        <w:rPr>
          <w:rFonts w:ascii="Sylfaen" w:eastAsia="Merriweather" w:hAnsi="Sylfaen" w:cs="Merriweather"/>
          <w:sz w:val="24"/>
          <w:szCs w:val="24"/>
          <w:lang w:val="ka-GE"/>
        </w:rPr>
        <w:t xml:space="preserve"> ადამიანები 65 წლიდან 74 წლამდე „ახალგაზრდა მოხუცებულებად“ იწოდებიან</w:t>
      </w:r>
      <w:r w:rsidR="0034676C" w:rsidRPr="007971BD">
        <w:rPr>
          <w:rFonts w:ascii="Sylfaen" w:eastAsia="Merriweather" w:hAnsi="Sylfaen" w:cs="Merriweather"/>
          <w:sz w:val="24"/>
          <w:szCs w:val="24"/>
          <w:lang w:val="ka-GE"/>
        </w:rPr>
        <w:t>,</w:t>
      </w:r>
      <w:r w:rsidR="006138AD" w:rsidRPr="007971BD">
        <w:rPr>
          <w:rFonts w:ascii="Sylfaen" w:eastAsia="Merriweather" w:hAnsi="Sylfaen" w:cs="Merriweather"/>
          <w:sz w:val="24"/>
          <w:szCs w:val="24"/>
          <w:lang w:val="ka-GE"/>
        </w:rPr>
        <w:t xml:space="preserve"> თუმცაღა,</w:t>
      </w:r>
      <w:r w:rsidR="0034676C" w:rsidRPr="007971BD">
        <w:rPr>
          <w:rFonts w:ascii="Sylfaen" w:eastAsia="Merriweather" w:hAnsi="Sylfaen" w:cs="Merriweather"/>
          <w:sz w:val="24"/>
          <w:szCs w:val="24"/>
          <w:lang w:val="ka-GE"/>
        </w:rPr>
        <w:t xml:space="preserve"> ისიც ითქვა, რომ </w:t>
      </w:r>
      <w:r w:rsidR="006138AD" w:rsidRPr="007971BD">
        <w:rPr>
          <w:rFonts w:ascii="Sylfaen" w:eastAsia="Merriweather" w:hAnsi="Sylfaen" w:cs="Merriweather"/>
          <w:sz w:val="24"/>
          <w:szCs w:val="24"/>
          <w:lang w:val="ka-GE"/>
        </w:rPr>
        <w:t xml:space="preserve"> 65 წლის ასაკი, თავისთავად, არ </w:t>
      </w:r>
      <w:r w:rsidR="0034676C" w:rsidRPr="007971BD">
        <w:rPr>
          <w:rFonts w:ascii="Sylfaen" w:eastAsia="Merriweather" w:hAnsi="Sylfaen" w:cs="Merriweather"/>
          <w:sz w:val="24"/>
          <w:szCs w:val="24"/>
          <w:lang w:val="ka-GE"/>
        </w:rPr>
        <w:t>მიუთითებდა</w:t>
      </w:r>
      <w:r w:rsidR="006138AD" w:rsidRPr="007971BD">
        <w:rPr>
          <w:rFonts w:ascii="Sylfaen" w:eastAsia="Merriweather" w:hAnsi="Sylfaen" w:cs="Merriweather"/>
          <w:sz w:val="24"/>
          <w:szCs w:val="24"/>
          <w:lang w:val="ka-GE"/>
        </w:rPr>
        <w:t xml:space="preserve"> ადამიანის ჯანმრთელობის განსაკუთრებულ გაუარესებაზე</w:t>
      </w:r>
      <w:r w:rsidR="0034676C" w:rsidRPr="007971BD">
        <w:rPr>
          <w:rFonts w:ascii="Sylfaen" w:eastAsia="Merriweather" w:hAnsi="Sylfaen" w:cs="Merriweather"/>
          <w:sz w:val="24"/>
          <w:szCs w:val="24"/>
          <w:lang w:val="ka-GE"/>
        </w:rPr>
        <w:t xml:space="preserve"> და რომ</w:t>
      </w:r>
      <w:r w:rsidR="006138AD" w:rsidRPr="007971BD">
        <w:rPr>
          <w:rFonts w:ascii="Sylfaen" w:eastAsia="Merriweather" w:hAnsi="Sylfaen" w:cs="Merriweather"/>
          <w:sz w:val="24"/>
          <w:szCs w:val="24"/>
          <w:lang w:val="ka-GE"/>
        </w:rPr>
        <w:t xml:space="preserve"> საშუალოდ, 65 წლის ადამიანს შენარჩუნებული აქვს მენტალურად ყველა ის პირობა, რაც აქვს, მაგალითად, 55 წლის ადამიანს.</w:t>
      </w:r>
      <w:r w:rsidR="00934F85" w:rsidRPr="007971BD">
        <w:rPr>
          <w:rFonts w:ascii="Sylfaen" w:eastAsia="Merriweather" w:hAnsi="Sylfaen" w:cs="Merriweather"/>
          <w:sz w:val="24"/>
          <w:szCs w:val="24"/>
          <w:lang w:val="ka-GE"/>
        </w:rPr>
        <w:t xml:space="preserve"> </w:t>
      </w:r>
      <w:r w:rsidR="0034676C" w:rsidRPr="007971BD">
        <w:rPr>
          <w:rFonts w:ascii="Sylfaen" w:eastAsia="Merriweather" w:hAnsi="Sylfaen" w:cs="Merriweather"/>
          <w:sz w:val="24"/>
          <w:szCs w:val="24"/>
          <w:lang w:val="ka-GE"/>
        </w:rPr>
        <w:t>მანვე დაადასტურა, რომ კლინიკურად</w:t>
      </w:r>
      <w:r w:rsidR="009564CB" w:rsidRPr="007971BD">
        <w:rPr>
          <w:rFonts w:ascii="Sylfaen" w:eastAsia="Merriweather" w:hAnsi="Sylfaen" w:cs="Merriweather"/>
          <w:sz w:val="24"/>
          <w:szCs w:val="24"/>
          <w:lang w:val="ka-GE"/>
        </w:rPr>
        <w:t>,</w:t>
      </w:r>
      <w:r w:rsidR="0034676C" w:rsidRPr="007971BD">
        <w:rPr>
          <w:rFonts w:ascii="Sylfaen" w:eastAsia="Merriweather" w:hAnsi="Sylfaen" w:cs="Merriweather"/>
          <w:sz w:val="24"/>
          <w:szCs w:val="24"/>
          <w:lang w:val="ka-GE"/>
        </w:rPr>
        <w:t xml:space="preserve"> ჯანმრთელობის გაუარესების მკვეთრი გამოხატულება უფრო გვიან ასაკში ვლინდებოდა  და </w:t>
      </w:r>
      <w:r w:rsidR="0034676C" w:rsidRPr="007971BD">
        <w:rPr>
          <w:rFonts w:ascii="Sylfaen" w:eastAsia="Merriweather" w:hAnsi="Sylfaen" w:cs="Merriweather"/>
          <w:sz w:val="24"/>
          <w:szCs w:val="24"/>
          <w:lang w:val="ka-GE"/>
        </w:rPr>
        <w:lastRenderedPageBreak/>
        <w:t>დაახლოებით 75 წლის ასაკიდან იწყებოდა (</w:t>
      </w:r>
      <w:r w:rsidR="00FD6087" w:rsidRPr="007971BD">
        <w:rPr>
          <w:rFonts w:ascii="Sylfaen" w:eastAsia="Merriweather" w:hAnsi="Sylfaen" w:cs="Merriweather"/>
          <w:sz w:val="24"/>
          <w:szCs w:val="24"/>
          <w:lang w:val="ka-GE"/>
        </w:rPr>
        <w:t xml:space="preserve">იხ. სამოტივაციო ნაწილის </w:t>
      </w:r>
      <w:r w:rsidR="0034676C" w:rsidRPr="007971BD">
        <w:rPr>
          <w:rFonts w:ascii="Sylfaen" w:eastAsia="Merriweather" w:hAnsi="Sylfaen" w:cs="Merriweather"/>
          <w:sz w:val="24"/>
          <w:szCs w:val="24"/>
          <w:lang w:val="ka-GE"/>
        </w:rPr>
        <w:t>44</w:t>
      </w:r>
      <w:r w:rsidR="00FD6087" w:rsidRPr="007971BD">
        <w:rPr>
          <w:rFonts w:ascii="Sylfaen" w:eastAsia="Merriweather" w:hAnsi="Sylfaen" w:cs="Merriweather"/>
          <w:sz w:val="24"/>
          <w:szCs w:val="24"/>
          <w:lang w:val="ka-GE"/>
        </w:rPr>
        <w:t>-ე პუნქტი</w:t>
      </w:r>
      <w:r w:rsidR="0034676C" w:rsidRPr="007971BD">
        <w:rPr>
          <w:rFonts w:ascii="Sylfaen" w:eastAsia="Merriweather" w:hAnsi="Sylfaen" w:cs="Merriweather"/>
          <w:sz w:val="24"/>
          <w:szCs w:val="24"/>
          <w:lang w:val="ka-GE"/>
        </w:rPr>
        <w:t>)</w:t>
      </w:r>
      <w:r w:rsidR="00752843" w:rsidRPr="007971BD">
        <w:rPr>
          <w:rFonts w:ascii="Sylfaen" w:eastAsia="Merriweather" w:hAnsi="Sylfaen" w:cs="Merriweather"/>
          <w:sz w:val="24"/>
          <w:szCs w:val="24"/>
          <w:lang w:val="ka-GE"/>
        </w:rPr>
        <w:t xml:space="preserve">. </w:t>
      </w:r>
      <w:r w:rsidR="00752843" w:rsidRPr="002A445F">
        <w:rPr>
          <w:rFonts w:ascii="Sylfaen" w:eastAsia="Merriweather" w:hAnsi="Sylfaen" w:cs="Merriweather"/>
          <w:sz w:val="24"/>
          <w:szCs w:val="24"/>
          <w:lang w:val="ka-GE"/>
        </w:rPr>
        <w:t>მეტიც,</w:t>
      </w:r>
      <w:r w:rsidR="009564CB" w:rsidRPr="002A445F">
        <w:rPr>
          <w:rFonts w:ascii="Sylfaen" w:eastAsia="Merriweather" w:hAnsi="Sylfaen" w:cs="Merriweather"/>
          <w:sz w:val="24"/>
          <w:szCs w:val="24"/>
          <w:lang w:val="ka-GE"/>
        </w:rPr>
        <w:t xml:space="preserve"> </w:t>
      </w:r>
      <w:r w:rsidR="003E2BAC" w:rsidRPr="002A445F">
        <w:rPr>
          <w:rFonts w:ascii="Sylfaen" w:eastAsia="Merriweather" w:hAnsi="Sylfaen" w:cs="Merriweather"/>
          <w:sz w:val="24"/>
          <w:szCs w:val="24"/>
          <w:lang w:val="ka-GE"/>
        </w:rPr>
        <w:t xml:space="preserve">საკუთრივ </w:t>
      </w:r>
      <w:r w:rsidR="00FD6087" w:rsidRPr="002A445F">
        <w:rPr>
          <w:rFonts w:ascii="Sylfaen" w:eastAsia="Merriweather" w:hAnsi="Sylfaen" w:cs="Merriweather"/>
          <w:sz w:val="24"/>
          <w:szCs w:val="24"/>
          <w:lang w:val="ka-GE"/>
        </w:rPr>
        <w:t>სასამართლოს არგუმენტაციით, ის</w:t>
      </w:r>
      <w:r w:rsidR="00752843" w:rsidRPr="002A445F">
        <w:rPr>
          <w:rFonts w:ascii="Sylfaen" w:eastAsia="Merriweather" w:hAnsi="Sylfaen" w:cs="Merriweather"/>
          <w:sz w:val="24"/>
          <w:szCs w:val="24"/>
          <w:lang w:val="ka-GE"/>
        </w:rPr>
        <w:t xml:space="preserve"> შორს იყო მოსაზრებისგან, რომ 65 წლის ასაკის მიღწევა ავტომატურად შეუსაბამოს ხდიდა პირს მოსამართლის თანამდებობისათვის  და რომ მოსამართლეთა დიდი ნაწილის მიერ საქმიანობის 65 წლის შემდეგ გაგრძელება თავისთავად გამოიწვევდა</w:t>
      </w:r>
      <w:r w:rsidR="00065879" w:rsidRPr="002A445F">
        <w:rPr>
          <w:rFonts w:ascii="Sylfaen" w:eastAsia="Merriweather" w:hAnsi="Sylfaen" w:cs="Merriweather"/>
          <w:sz w:val="24"/>
          <w:szCs w:val="24"/>
          <w:lang w:val="ka-GE"/>
        </w:rPr>
        <w:t xml:space="preserve"> </w:t>
      </w:r>
      <w:r w:rsidR="00752843" w:rsidRPr="002A445F">
        <w:rPr>
          <w:rFonts w:ascii="Sylfaen" w:eastAsia="Merriweather" w:hAnsi="Sylfaen" w:cs="Merriweather"/>
          <w:sz w:val="24"/>
          <w:szCs w:val="24"/>
          <w:lang w:val="ka-GE"/>
        </w:rPr>
        <w:t>მართლმსაჯულების სისტემის ეფექტიანი ფუნქციონირების შეფერხებას (</w:t>
      </w:r>
      <w:r w:rsidR="00FD6087" w:rsidRPr="002A445F">
        <w:rPr>
          <w:rFonts w:ascii="Sylfaen" w:eastAsia="Merriweather" w:hAnsi="Sylfaen" w:cs="Merriweather"/>
          <w:sz w:val="24"/>
          <w:szCs w:val="24"/>
          <w:lang w:val="ka-GE"/>
        </w:rPr>
        <w:t xml:space="preserve">იხ. სამოტივაციო ნაწილის </w:t>
      </w:r>
      <w:r w:rsidR="00752843" w:rsidRPr="002A445F">
        <w:rPr>
          <w:rFonts w:ascii="Sylfaen" w:eastAsia="Merriweather" w:hAnsi="Sylfaen" w:cs="Merriweather"/>
          <w:sz w:val="24"/>
          <w:szCs w:val="24"/>
          <w:lang w:val="ka-GE"/>
        </w:rPr>
        <w:t>53</w:t>
      </w:r>
      <w:r w:rsidR="00FD6087" w:rsidRPr="002A445F">
        <w:rPr>
          <w:rFonts w:ascii="Sylfaen" w:eastAsia="Merriweather" w:hAnsi="Sylfaen" w:cs="Merriweather"/>
          <w:sz w:val="24"/>
          <w:szCs w:val="24"/>
          <w:lang w:val="ka-GE"/>
        </w:rPr>
        <w:t>-ე პუნქტი</w:t>
      </w:r>
      <w:r w:rsidR="00752843" w:rsidRPr="002A445F">
        <w:rPr>
          <w:rFonts w:ascii="Sylfaen" w:eastAsia="Merriweather" w:hAnsi="Sylfaen" w:cs="Merriweather"/>
          <w:sz w:val="24"/>
          <w:szCs w:val="24"/>
          <w:lang w:val="ka-GE"/>
        </w:rPr>
        <w:t>)</w:t>
      </w:r>
      <w:r w:rsidR="00E14AD2" w:rsidRPr="002A445F">
        <w:rPr>
          <w:rFonts w:ascii="Sylfaen" w:eastAsia="Merriweather" w:hAnsi="Sylfaen" w:cs="Merriweather"/>
          <w:sz w:val="24"/>
          <w:szCs w:val="24"/>
          <w:lang w:val="ka-GE"/>
        </w:rPr>
        <w:t>.</w:t>
      </w:r>
      <w:r w:rsidR="00752843" w:rsidRPr="002A445F">
        <w:rPr>
          <w:rFonts w:ascii="Sylfaen" w:eastAsia="Merriweather" w:hAnsi="Sylfaen" w:cs="Merriweather"/>
          <w:sz w:val="24"/>
          <w:szCs w:val="24"/>
          <w:lang w:val="ka-GE"/>
        </w:rPr>
        <w:t xml:space="preserve"> ამის გათვალისწინებით</w:t>
      </w:r>
      <w:r w:rsidR="00DC5902">
        <w:rPr>
          <w:rFonts w:ascii="Sylfaen" w:eastAsia="Merriweather" w:hAnsi="Sylfaen" w:cs="Merriweather"/>
          <w:sz w:val="24"/>
          <w:szCs w:val="24"/>
          <w:lang w:val="ka-GE"/>
        </w:rPr>
        <w:t xml:space="preserve">, </w:t>
      </w:r>
      <w:r w:rsidR="009564CB" w:rsidRPr="002A445F">
        <w:rPr>
          <w:rFonts w:ascii="Sylfaen" w:eastAsia="Merriweather" w:hAnsi="Sylfaen" w:cs="Merriweather"/>
          <w:sz w:val="24"/>
          <w:szCs w:val="24"/>
          <w:lang w:val="ka-GE"/>
        </w:rPr>
        <w:t>საბოლოო</w:t>
      </w:r>
      <w:r w:rsidR="00FD6087" w:rsidRPr="002A445F">
        <w:rPr>
          <w:rFonts w:ascii="Sylfaen" w:eastAsia="Merriweather" w:hAnsi="Sylfaen" w:cs="Merriweather"/>
          <w:sz w:val="24"/>
          <w:szCs w:val="24"/>
          <w:lang w:val="ka-GE"/>
        </w:rPr>
        <w:t xml:space="preserve">დ </w:t>
      </w:r>
      <w:r w:rsidR="009564CB" w:rsidRPr="002A445F">
        <w:rPr>
          <w:rFonts w:ascii="Sylfaen" w:eastAsia="Merriweather" w:hAnsi="Sylfaen" w:cs="Merriweather"/>
          <w:sz w:val="24"/>
          <w:szCs w:val="24"/>
          <w:lang w:val="ka-GE"/>
        </w:rPr>
        <w:t xml:space="preserve">მივიღეთ მოცემულობა, სადაც </w:t>
      </w:r>
      <w:r w:rsidR="00752843" w:rsidRPr="002A445F">
        <w:rPr>
          <w:rFonts w:ascii="Sylfaen" w:eastAsia="Merriweather" w:hAnsi="Sylfaen" w:cs="Merriweather"/>
          <w:sz w:val="24"/>
          <w:szCs w:val="24"/>
          <w:lang w:val="ka-GE"/>
        </w:rPr>
        <w:t xml:space="preserve">65 წლის ასაკობრივი ბარიერის გონივრულობა, </w:t>
      </w:r>
      <w:r w:rsidR="009564CB" w:rsidRPr="002A445F">
        <w:rPr>
          <w:rFonts w:ascii="Sylfaen" w:eastAsia="Merriweather" w:hAnsi="Sylfaen" w:cs="Merriweather"/>
          <w:sz w:val="24"/>
          <w:szCs w:val="24"/>
          <w:lang w:val="ka-GE"/>
        </w:rPr>
        <w:t xml:space="preserve"> </w:t>
      </w:r>
      <w:r w:rsidR="002A7236" w:rsidRPr="002A445F">
        <w:rPr>
          <w:rFonts w:ascii="Sylfaen" w:eastAsia="Merriweather" w:hAnsi="Sylfaen" w:cs="Merriweather"/>
          <w:sz w:val="24"/>
          <w:szCs w:val="24"/>
          <w:lang w:val="ka-GE"/>
        </w:rPr>
        <w:t>დაე</w:t>
      </w:r>
      <w:r w:rsidR="009564CB" w:rsidRPr="002A445F">
        <w:rPr>
          <w:rFonts w:ascii="Sylfaen" w:eastAsia="Merriweather" w:hAnsi="Sylfaen" w:cs="Merriweather"/>
          <w:sz w:val="24"/>
          <w:szCs w:val="24"/>
          <w:lang w:val="ka-GE"/>
        </w:rPr>
        <w:t xml:space="preserve">მყარა არა </w:t>
      </w:r>
      <w:r w:rsidR="00E54914" w:rsidRPr="002A445F">
        <w:rPr>
          <w:rFonts w:ascii="Sylfaen" w:eastAsia="Merriweather" w:hAnsi="Sylfaen" w:cs="Merriweather"/>
          <w:sz w:val="24"/>
          <w:szCs w:val="24"/>
          <w:lang w:val="ka-GE"/>
        </w:rPr>
        <w:t xml:space="preserve">დადასტურებულ ფაქტს, რომ „შესაბამისი ასაკის </w:t>
      </w:r>
      <w:r w:rsidR="00E14AD2" w:rsidRPr="002A445F">
        <w:rPr>
          <w:rFonts w:ascii="Sylfaen" w:eastAsia="Merriweather" w:hAnsi="Sylfaen" w:cs="Merriweather"/>
          <w:sz w:val="24"/>
          <w:szCs w:val="24"/>
          <w:lang w:val="ka-GE"/>
        </w:rPr>
        <w:t>დიდ</w:t>
      </w:r>
      <w:r w:rsidR="00E54914" w:rsidRPr="002A445F">
        <w:rPr>
          <w:rFonts w:ascii="Sylfaen" w:eastAsia="Merriweather" w:hAnsi="Sylfaen" w:cs="Merriweather"/>
          <w:sz w:val="24"/>
          <w:szCs w:val="24"/>
          <w:lang w:val="ka-GE"/>
        </w:rPr>
        <w:t xml:space="preserve"> </w:t>
      </w:r>
      <w:r w:rsidR="008A5539" w:rsidRPr="002A445F">
        <w:rPr>
          <w:rFonts w:ascii="Sylfaen" w:eastAsia="Merriweather" w:hAnsi="Sylfaen" w:cs="Merriweather"/>
          <w:sz w:val="24"/>
          <w:szCs w:val="24"/>
          <w:lang w:val="ka-GE"/>
        </w:rPr>
        <w:t xml:space="preserve">უმრავლესობას </w:t>
      </w:r>
      <w:r w:rsidR="00E54914" w:rsidRPr="002A445F">
        <w:rPr>
          <w:rFonts w:ascii="Sylfaen" w:eastAsia="Merriweather" w:hAnsi="Sylfaen" w:cs="Merriweather"/>
          <w:sz w:val="24"/>
          <w:szCs w:val="24"/>
          <w:lang w:val="ka-GE"/>
        </w:rPr>
        <w:t>სამსახურებრივი ფუნქციების შე</w:t>
      </w:r>
      <w:r w:rsidR="008A5539" w:rsidRPr="002A445F">
        <w:rPr>
          <w:rFonts w:ascii="Sylfaen" w:eastAsia="Merriweather" w:hAnsi="Sylfaen" w:cs="Merriweather"/>
          <w:sz w:val="24"/>
          <w:szCs w:val="24"/>
          <w:lang w:val="ka-GE"/>
        </w:rPr>
        <w:t>სრულება</w:t>
      </w:r>
      <w:r w:rsidR="00E54914" w:rsidRPr="002A445F">
        <w:rPr>
          <w:rFonts w:ascii="Sylfaen" w:eastAsia="Merriweather" w:hAnsi="Sylfaen" w:cs="Merriweather"/>
          <w:sz w:val="24"/>
          <w:szCs w:val="24"/>
          <w:lang w:val="ka-GE"/>
        </w:rPr>
        <w:t xml:space="preserve"> როგორც წესი, </w:t>
      </w:r>
      <w:r w:rsidR="008A5539" w:rsidRPr="002A445F">
        <w:rPr>
          <w:rFonts w:ascii="Sylfaen" w:eastAsia="Merriweather" w:hAnsi="Sylfaen" w:cs="Merriweather"/>
          <w:sz w:val="24"/>
          <w:szCs w:val="24"/>
          <w:lang w:val="ka-GE"/>
        </w:rPr>
        <w:t xml:space="preserve"> არ შ</w:t>
      </w:r>
      <w:r w:rsidR="00E14AD2" w:rsidRPr="002A445F">
        <w:rPr>
          <w:rFonts w:ascii="Sylfaen" w:eastAsia="Merriweather" w:hAnsi="Sylfaen" w:cs="Merriweather"/>
          <w:sz w:val="24"/>
          <w:szCs w:val="24"/>
          <w:lang w:val="ka-GE"/>
        </w:rPr>
        <w:t>ე</w:t>
      </w:r>
      <w:r w:rsidR="008A5539" w:rsidRPr="002A445F">
        <w:rPr>
          <w:rFonts w:ascii="Sylfaen" w:eastAsia="Merriweather" w:hAnsi="Sylfaen" w:cs="Merriweather"/>
          <w:sz w:val="24"/>
          <w:szCs w:val="24"/>
          <w:lang w:val="ka-GE"/>
        </w:rPr>
        <w:t>უძლია</w:t>
      </w:r>
      <w:r w:rsidR="00E14AD2" w:rsidRPr="002A445F">
        <w:rPr>
          <w:rFonts w:ascii="Sylfaen" w:eastAsia="Merriweather" w:hAnsi="Sylfaen" w:cs="Merriweather"/>
          <w:sz w:val="24"/>
          <w:szCs w:val="24"/>
          <w:lang w:val="ka-GE"/>
        </w:rPr>
        <w:t>“</w:t>
      </w:r>
      <w:r w:rsidR="008A5539" w:rsidRPr="002A445F">
        <w:rPr>
          <w:rFonts w:ascii="Sylfaen" w:eastAsia="Merriweather" w:hAnsi="Sylfaen" w:cs="Merriweather"/>
          <w:sz w:val="24"/>
          <w:szCs w:val="24"/>
          <w:lang w:val="ka-GE"/>
        </w:rPr>
        <w:t xml:space="preserve">, </w:t>
      </w:r>
      <w:r w:rsidR="00E54914" w:rsidRPr="002A445F">
        <w:rPr>
          <w:rFonts w:ascii="Sylfaen" w:eastAsia="Merriweather" w:hAnsi="Sylfaen" w:cs="Merriweather"/>
          <w:sz w:val="24"/>
          <w:szCs w:val="24"/>
          <w:lang w:val="ka-GE"/>
        </w:rPr>
        <w:t xml:space="preserve">არამედ </w:t>
      </w:r>
      <w:r w:rsidR="00752843" w:rsidRPr="002A445F">
        <w:rPr>
          <w:rFonts w:ascii="Sylfaen" w:eastAsia="Merriweather" w:hAnsi="Sylfaen" w:cs="Merriweather"/>
          <w:sz w:val="24"/>
          <w:szCs w:val="24"/>
          <w:lang w:val="ka-GE"/>
        </w:rPr>
        <w:t xml:space="preserve">მხოლოდ იმ </w:t>
      </w:r>
      <w:r w:rsidR="00E54914" w:rsidRPr="002A445F">
        <w:rPr>
          <w:rFonts w:ascii="Sylfaen" w:eastAsia="Merriweather" w:hAnsi="Sylfaen" w:cs="Merriweather"/>
          <w:sz w:val="24"/>
          <w:szCs w:val="24"/>
          <w:lang w:val="ka-GE"/>
        </w:rPr>
        <w:t xml:space="preserve">დაშვების გონივრულობას, რომ 65 წლის მიღწევის შემდეგ მოსამართლეების ნაწილი </w:t>
      </w:r>
      <w:r w:rsidR="008A5539" w:rsidRPr="002A445F">
        <w:rPr>
          <w:rFonts w:ascii="Sylfaen" w:eastAsia="Merriweather" w:hAnsi="Sylfaen" w:cs="Merriweather"/>
          <w:sz w:val="24"/>
          <w:szCs w:val="24"/>
          <w:lang w:val="ka-GE"/>
        </w:rPr>
        <w:t xml:space="preserve">სავარაუდოდ </w:t>
      </w:r>
      <w:r w:rsidR="00E54914" w:rsidRPr="002A445F">
        <w:rPr>
          <w:rFonts w:ascii="Sylfaen" w:eastAsia="Merriweather" w:hAnsi="Sylfaen" w:cs="Merriweather"/>
          <w:sz w:val="24"/>
          <w:szCs w:val="24"/>
          <w:lang w:val="ka-GE"/>
        </w:rPr>
        <w:t xml:space="preserve">ვერ შეძლებს საქმიანობის სათანადოდ განხორციელებას, რაკი  </w:t>
      </w:r>
      <w:r w:rsidR="00752843" w:rsidRPr="002A445F">
        <w:rPr>
          <w:rFonts w:ascii="Sylfaen" w:eastAsia="Merriweather" w:hAnsi="Sylfaen" w:cs="Merriweather"/>
          <w:sz w:val="24"/>
          <w:szCs w:val="24"/>
          <w:lang w:val="ka-GE"/>
        </w:rPr>
        <w:t>ზოგადად გერიატრიული ასაკი 65 წლიდან იწყება</w:t>
      </w:r>
      <w:r w:rsidR="00E54914" w:rsidRPr="002A445F">
        <w:rPr>
          <w:rFonts w:ascii="Sylfaen" w:eastAsia="Merriweather" w:hAnsi="Sylfaen" w:cs="Merriweather"/>
          <w:sz w:val="24"/>
          <w:szCs w:val="24"/>
          <w:lang w:val="ka-GE"/>
        </w:rPr>
        <w:t xml:space="preserve"> და  </w:t>
      </w:r>
      <w:r w:rsidR="00D62F8D" w:rsidRPr="002A445F">
        <w:rPr>
          <w:rFonts w:ascii="Sylfaen" w:eastAsia="Merriweather" w:hAnsi="Sylfaen" w:cs="Merriweather"/>
          <w:sz w:val="24"/>
          <w:szCs w:val="24"/>
          <w:lang w:val="ka-GE"/>
        </w:rPr>
        <w:t>ასაკ</w:t>
      </w:r>
      <w:r w:rsidR="00857976" w:rsidRPr="002A445F">
        <w:rPr>
          <w:rFonts w:ascii="Sylfaen" w:eastAsia="Merriweather" w:hAnsi="Sylfaen" w:cs="Merriweather"/>
          <w:sz w:val="24"/>
          <w:szCs w:val="24"/>
          <w:lang w:val="ka-GE"/>
        </w:rPr>
        <w:t xml:space="preserve">ის </w:t>
      </w:r>
      <w:r w:rsidR="00D62F8D" w:rsidRPr="002A445F">
        <w:rPr>
          <w:rFonts w:ascii="Sylfaen" w:eastAsia="Merriweather" w:hAnsi="Sylfaen" w:cs="Merriweather"/>
          <w:sz w:val="24"/>
          <w:szCs w:val="24"/>
          <w:lang w:val="ka-GE"/>
        </w:rPr>
        <w:t xml:space="preserve">მატებასთან ერთად, </w:t>
      </w:r>
      <w:r w:rsidR="00E54914" w:rsidRPr="002A445F">
        <w:rPr>
          <w:rFonts w:ascii="Sylfaen" w:eastAsia="Merriweather" w:hAnsi="Sylfaen" w:cs="Merriweather"/>
          <w:sz w:val="24"/>
          <w:szCs w:val="24"/>
          <w:lang w:val="ka-GE"/>
        </w:rPr>
        <w:t xml:space="preserve"> საერთოდ, </w:t>
      </w:r>
      <w:r w:rsidR="00D62F8D" w:rsidRPr="002A445F">
        <w:rPr>
          <w:rFonts w:ascii="Sylfaen" w:eastAsia="Merriweather" w:hAnsi="Sylfaen" w:cs="Merriweather"/>
          <w:sz w:val="24"/>
          <w:szCs w:val="24"/>
          <w:lang w:val="ka-GE"/>
        </w:rPr>
        <w:t>შრომითი უნარებიც ქვეითდება</w:t>
      </w:r>
      <w:r w:rsidR="00E54914" w:rsidRPr="002A445F">
        <w:rPr>
          <w:rFonts w:ascii="Sylfaen" w:eastAsia="Merriweather" w:hAnsi="Sylfaen" w:cs="Merriweather"/>
          <w:sz w:val="24"/>
          <w:szCs w:val="24"/>
          <w:lang w:val="ka-GE"/>
        </w:rPr>
        <w:t>.</w:t>
      </w:r>
      <w:r w:rsidR="002A7236" w:rsidRPr="002A445F">
        <w:rPr>
          <w:rFonts w:ascii="Sylfaen" w:eastAsia="Merriweather" w:hAnsi="Sylfaen" w:cs="Merriweather"/>
          <w:sz w:val="24"/>
          <w:szCs w:val="24"/>
          <w:lang w:val="ka-GE"/>
        </w:rPr>
        <w:t xml:space="preserve"> </w:t>
      </w:r>
      <w:r w:rsidR="00E54914" w:rsidRPr="002A445F">
        <w:rPr>
          <w:rFonts w:ascii="Sylfaen" w:eastAsia="Merriweather" w:hAnsi="Sylfaen" w:cs="Merriweather"/>
          <w:sz w:val="24"/>
          <w:szCs w:val="24"/>
          <w:lang w:val="ka-GE"/>
        </w:rPr>
        <w:t xml:space="preserve"> </w:t>
      </w:r>
      <w:r w:rsidR="008A5539" w:rsidRPr="002A445F">
        <w:rPr>
          <w:rFonts w:ascii="Sylfaen" w:eastAsia="Merriweather" w:hAnsi="Sylfaen" w:cs="Merriweather"/>
          <w:sz w:val="24"/>
          <w:szCs w:val="24"/>
          <w:lang w:val="ka-GE"/>
        </w:rPr>
        <w:t>ცალკე აღებული ეს ლოგიკაც, საპირისპიროა იმისა, რასაც სასამართლო ადრე იყენებდა - რომ</w:t>
      </w:r>
      <w:r w:rsidR="002A7236" w:rsidRPr="002A445F">
        <w:rPr>
          <w:rFonts w:ascii="Sylfaen" w:eastAsia="Merriweather" w:hAnsi="Sylfaen" w:cs="Merriweather"/>
          <w:sz w:val="24"/>
          <w:szCs w:val="24"/>
          <w:lang w:val="ka-GE"/>
        </w:rPr>
        <w:t xml:space="preserve"> </w:t>
      </w:r>
      <w:r w:rsidR="00752843" w:rsidRPr="002A445F">
        <w:rPr>
          <w:rFonts w:ascii="Sylfaen" w:eastAsia="Merriweather" w:hAnsi="Sylfaen" w:cs="Merriweather"/>
          <w:sz w:val="24"/>
          <w:szCs w:val="24"/>
          <w:lang w:val="ka-GE"/>
        </w:rPr>
        <w:t xml:space="preserve"> </w:t>
      </w:r>
      <w:r w:rsidR="002A7236" w:rsidRPr="002A445F">
        <w:rPr>
          <w:rFonts w:ascii="Sylfaen" w:eastAsia="Merriweather" w:hAnsi="Sylfaen" w:cs="Merriweather"/>
          <w:sz w:val="24"/>
          <w:szCs w:val="24"/>
          <w:lang w:val="ka-GE"/>
        </w:rPr>
        <w:t>„ასაკის მატების  კვალობაზე ადამიანის ფიზიკური ამტანობის შესუსტება და გარკვეული უნარების დაქვეითება, თავისთავად, ვერ გახდებოდა ასაკთან დაკავშირებული ნებისმიერი ბლანკეტური შეზღუდვის დაწესების თვითკმარი საფუძველი“.</w:t>
      </w:r>
    </w:p>
    <w:p w14:paraId="050DD8D4" w14:textId="4D203652" w:rsidR="00FD6087" w:rsidRPr="002A445F" w:rsidRDefault="00752843"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2A445F">
        <w:rPr>
          <w:rFonts w:ascii="Sylfaen" w:eastAsia="Merriweather" w:hAnsi="Sylfaen" w:cs="Merriweather"/>
          <w:sz w:val="24"/>
          <w:szCs w:val="24"/>
          <w:lang w:val="ka-GE"/>
        </w:rPr>
        <w:t>ამგვარად,</w:t>
      </w:r>
      <w:r w:rsidR="00B66877" w:rsidRPr="002A445F">
        <w:rPr>
          <w:rFonts w:ascii="Sylfaen" w:eastAsia="Merriweather" w:hAnsi="Sylfaen" w:cs="Merriweather"/>
          <w:sz w:val="24"/>
          <w:szCs w:val="24"/>
          <w:lang w:val="ka-GE"/>
        </w:rPr>
        <w:t xml:space="preserve"> მოსამართლეთათვის დაწესებული </w:t>
      </w:r>
      <w:r w:rsidR="00D62F8D" w:rsidRPr="002A445F">
        <w:rPr>
          <w:rFonts w:ascii="Sylfaen" w:eastAsia="Merriweather" w:hAnsi="Sylfaen" w:cs="Merriweather"/>
          <w:sz w:val="24"/>
          <w:szCs w:val="24"/>
          <w:lang w:val="ka-GE"/>
        </w:rPr>
        <w:t xml:space="preserve">ასაკობრივი ბარიერის </w:t>
      </w:r>
      <w:r w:rsidR="00B04B5D" w:rsidRPr="002A445F">
        <w:rPr>
          <w:rFonts w:ascii="Sylfaen" w:eastAsia="Merriweather" w:hAnsi="Sylfaen" w:cs="Merriweather"/>
          <w:sz w:val="24"/>
          <w:szCs w:val="24"/>
          <w:lang w:val="ka-GE"/>
        </w:rPr>
        <w:t>რაციონალურობის თაობაზე</w:t>
      </w:r>
      <w:r w:rsidR="00D62F8D" w:rsidRPr="002A445F">
        <w:rPr>
          <w:rFonts w:ascii="Sylfaen" w:eastAsia="Merriweather" w:hAnsi="Sylfaen" w:cs="Merriweather"/>
          <w:sz w:val="24"/>
          <w:szCs w:val="24"/>
          <w:lang w:val="ka-GE"/>
        </w:rPr>
        <w:t xml:space="preserve"> </w:t>
      </w:r>
      <w:r w:rsidR="00B04B5D" w:rsidRPr="002A445F">
        <w:rPr>
          <w:rFonts w:ascii="Sylfaen" w:eastAsia="Merriweather" w:hAnsi="Sylfaen" w:cs="Merriweather"/>
          <w:sz w:val="24"/>
          <w:szCs w:val="24"/>
          <w:lang w:val="ka-GE"/>
        </w:rPr>
        <w:t xml:space="preserve">გადაწყვეტილებაში წარმოდგენილი დასაბუთება კონტრადიქტორულია და იგი ვერც სხვა რაიმე  ხელშესახები არგუმენტებით არის გამყარებული.   საზოგადოდაც, </w:t>
      </w:r>
      <w:r w:rsidR="00532196" w:rsidRPr="002A445F">
        <w:rPr>
          <w:rFonts w:ascii="Sylfaen" w:eastAsia="Merriweather" w:hAnsi="Sylfaen" w:cs="Merriweather"/>
          <w:sz w:val="24"/>
          <w:szCs w:val="24"/>
          <w:lang w:val="ka-GE"/>
        </w:rPr>
        <w:t>იოლი არ არის</w:t>
      </w:r>
      <w:r w:rsidR="00B04B5D" w:rsidRPr="002A445F">
        <w:rPr>
          <w:rFonts w:ascii="Sylfaen" w:eastAsia="Merriweather" w:hAnsi="Sylfaen" w:cs="Merriweather"/>
          <w:sz w:val="24"/>
          <w:szCs w:val="24"/>
          <w:lang w:val="ka-GE"/>
        </w:rPr>
        <w:t xml:space="preserve"> იმის უარყოფა, რომ </w:t>
      </w:r>
      <w:r w:rsidR="00B66877" w:rsidRPr="002A445F">
        <w:rPr>
          <w:rFonts w:ascii="Sylfaen" w:eastAsia="Merriweather" w:hAnsi="Sylfaen" w:cs="Merriweather"/>
          <w:sz w:val="24"/>
          <w:szCs w:val="24"/>
          <w:lang w:val="ka-GE"/>
        </w:rPr>
        <w:t xml:space="preserve"> სამოსამართლო საქმიანობის სპეციფიკა, მოსამართლის თანამდებობის მნიშვნელობა და სტატუსი </w:t>
      </w:r>
      <w:r w:rsidR="00B04B5D" w:rsidRPr="002A445F">
        <w:rPr>
          <w:rFonts w:ascii="Sylfaen" w:eastAsia="Merriweather" w:hAnsi="Sylfaen" w:cs="Merriweather"/>
          <w:sz w:val="24"/>
          <w:szCs w:val="24"/>
          <w:lang w:val="ka-GE"/>
        </w:rPr>
        <w:t xml:space="preserve"> ჩვეულებრივ,</w:t>
      </w:r>
      <w:r w:rsidR="00B66877" w:rsidRPr="002A445F">
        <w:rPr>
          <w:rFonts w:ascii="Sylfaen" w:eastAsia="Merriweather" w:hAnsi="Sylfaen" w:cs="Merriweather"/>
          <w:sz w:val="24"/>
          <w:szCs w:val="24"/>
          <w:lang w:val="ka-GE"/>
        </w:rPr>
        <w:t xml:space="preserve"> უფრო მაღალ ას</w:t>
      </w:r>
      <w:r w:rsidR="00B74E0A" w:rsidRPr="002A445F">
        <w:rPr>
          <w:rFonts w:ascii="Sylfaen" w:eastAsia="Merriweather" w:hAnsi="Sylfaen" w:cs="Merriweather"/>
          <w:sz w:val="24"/>
          <w:szCs w:val="24"/>
          <w:lang w:val="ka-GE"/>
        </w:rPr>
        <w:t>ა</w:t>
      </w:r>
      <w:r w:rsidR="00B66877" w:rsidRPr="002A445F">
        <w:rPr>
          <w:rFonts w:ascii="Sylfaen" w:eastAsia="Merriweather" w:hAnsi="Sylfaen" w:cs="Merriweather"/>
          <w:sz w:val="24"/>
          <w:szCs w:val="24"/>
          <w:lang w:val="ka-GE"/>
        </w:rPr>
        <w:t>კობრივ ბარიერს ხდის მათთვის შესატყვისად. პრაქტიკული საქმიანობით დაგროვილი ცოდნა, სამოსამართლო უნარ-ჩვევები, სასამართლო დავების გადაწყვეტის გამოცდილება</w:t>
      </w:r>
      <w:r w:rsidR="00847517" w:rsidRPr="002A445F">
        <w:rPr>
          <w:rFonts w:ascii="Sylfaen" w:eastAsia="Merriweather" w:hAnsi="Sylfaen" w:cs="Merriweather"/>
          <w:sz w:val="24"/>
          <w:szCs w:val="24"/>
          <w:lang w:val="ka-GE"/>
        </w:rPr>
        <w:t xml:space="preserve"> მით უფრო მდიდარი და ფასეულია, რაც უფრო ხანგრძლივი საქმიანობის შედეგია ისინი. ეს ცოდნა და გამოცდილება არ არის იოლად ჩანაცვლებადი ფასეულობა და, წესით, სახელმწიფო, საზოგადოება, დაინტერესებული უნდა იყოს მისი გამოყენებით. </w:t>
      </w:r>
      <w:r w:rsidR="00532196" w:rsidRPr="002A445F">
        <w:rPr>
          <w:rFonts w:ascii="Sylfaen" w:eastAsia="Merriweather" w:hAnsi="Sylfaen" w:cs="Merriweather"/>
          <w:sz w:val="24"/>
          <w:szCs w:val="24"/>
          <w:lang w:val="ka-GE"/>
        </w:rPr>
        <w:t>როდესაც სახელმწიფო უარს ამბობს მის გამოყენებაზე, იგი, ცხადია, მოქმედებს თავისი მიხედულ</w:t>
      </w:r>
      <w:r w:rsidR="001F02C9" w:rsidRPr="002A445F">
        <w:rPr>
          <w:rFonts w:ascii="Sylfaen" w:eastAsia="Merriweather" w:hAnsi="Sylfaen" w:cs="Merriweather"/>
          <w:sz w:val="24"/>
          <w:szCs w:val="24"/>
          <w:lang w:val="ka-GE"/>
        </w:rPr>
        <w:t>ო</w:t>
      </w:r>
      <w:r w:rsidR="00532196" w:rsidRPr="002A445F">
        <w:rPr>
          <w:rFonts w:ascii="Sylfaen" w:eastAsia="Merriweather" w:hAnsi="Sylfaen" w:cs="Merriweather"/>
          <w:sz w:val="24"/>
          <w:szCs w:val="24"/>
          <w:lang w:val="ka-GE"/>
        </w:rPr>
        <w:t>ბის ფარგლებში, მაგრამ სრულიად  სხვა საკითხია იმის მტკიცება, რომ ჯეროვანი მართლმსაჯულების ინტერესები რეალური საფრთხის ქვეშ დადგება, თუკი სახელმწიფო სწორედ ასე არ  მოიქცევა.</w:t>
      </w:r>
    </w:p>
    <w:p w14:paraId="64CBBDBF" w14:textId="780223A1" w:rsidR="00FD6087" w:rsidRPr="002A445F" w:rsidRDefault="00847517"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2A445F">
        <w:rPr>
          <w:rFonts w:ascii="Sylfaen" w:eastAsia="Merriweather" w:hAnsi="Sylfaen" w:cs="Merriweather"/>
          <w:sz w:val="24"/>
          <w:szCs w:val="24"/>
          <w:lang w:val="ka-GE"/>
        </w:rPr>
        <w:t xml:space="preserve">ზემოაღნიშნულის </w:t>
      </w:r>
      <w:r w:rsidR="00E14AD2" w:rsidRPr="002A445F">
        <w:rPr>
          <w:rFonts w:ascii="Sylfaen" w:eastAsia="Merriweather" w:hAnsi="Sylfaen" w:cs="Merriweather"/>
          <w:sz w:val="24"/>
          <w:szCs w:val="24"/>
          <w:lang w:val="ka-GE"/>
        </w:rPr>
        <w:t>გამო</w:t>
      </w:r>
      <w:r w:rsidRPr="002A445F">
        <w:rPr>
          <w:rFonts w:ascii="Sylfaen" w:eastAsia="Merriweather" w:hAnsi="Sylfaen" w:cs="Merriweather"/>
          <w:sz w:val="24"/>
          <w:szCs w:val="24"/>
          <w:lang w:val="ka-GE"/>
        </w:rPr>
        <w:t xml:space="preserve">, </w:t>
      </w:r>
      <w:r w:rsidR="00457061" w:rsidRPr="002A445F">
        <w:rPr>
          <w:rFonts w:ascii="Sylfaen" w:eastAsia="Merriweather" w:hAnsi="Sylfaen" w:cs="Merriweather"/>
          <w:sz w:val="24"/>
          <w:szCs w:val="24"/>
          <w:lang w:val="ka-GE"/>
        </w:rPr>
        <w:t xml:space="preserve">გადაწყვეტილების მიხედვით, </w:t>
      </w:r>
      <w:r w:rsidRPr="002A445F">
        <w:rPr>
          <w:rFonts w:ascii="Sylfaen" w:eastAsia="Merriweather" w:hAnsi="Sylfaen" w:cs="Merriweather"/>
          <w:sz w:val="24"/>
          <w:szCs w:val="24"/>
          <w:lang w:val="ka-GE"/>
        </w:rPr>
        <w:t xml:space="preserve">გასაგები </w:t>
      </w:r>
      <w:r w:rsidR="00457061" w:rsidRPr="002A445F">
        <w:rPr>
          <w:rFonts w:ascii="Sylfaen" w:eastAsia="Merriweather" w:hAnsi="Sylfaen" w:cs="Merriweather"/>
          <w:sz w:val="24"/>
          <w:szCs w:val="24"/>
          <w:lang w:val="ka-GE"/>
        </w:rPr>
        <w:t>ვერ გახდა,</w:t>
      </w:r>
      <w:r w:rsidRPr="002A445F">
        <w:rPr>
          <w:rFonts w:ascii="Sylfaen" w:eastAsia="Merriweather" w:hAnsi="Sylfaen" w:cs="Merriweather"/>
          <w:sz w:val="24"/>
          <w:szCs w:val="24"/>
          <w:lang w:val="ka-GE"/>
        </w:rPr>
        <w:t xml:space="preserve"> რა</w:t>
      </w:r>
      <w:r w:rsidR="00C1771C" w:rsidRPr="002A445F">
        <w:rPr>
          <w:rFonts w:ascii="Sylfaen" w:eastAsia="Merriweather" w:hAnsi="Sylfaen" w:cs="Merriweather"/>
          <w:sz w:val="24"/>
          <w:szCs w:val="24"/>
          <w:lang w:val="ka-GE"/>
        </w:rPr>
        <w:t>ტომ უზრუნველყოფს</w:t>
      </w:r>
      <w:r w:rsidRPr="002A445F">
        <w:rPr>
          <w:rFonts w:ascii="Sylfaen" w:eastAsia="Merriweather" w:hAnsi="Sylfaen" w:cs="Merriweather"/>
          <w:sz w:val="24"/>
          <w:szCs w:val="24"/>
          <w:lang w:val="ka-GE"/>
        </w:rPr>
        <w:t xml:space="preserve"> დაწესებულ</w:t>
      </w:r>
      <w:r w:rsidR="00C1771C" w:rsidRPr="002A445F">
        <w:rPr>
          <w:rFonts w:ascii="Sylfaen" w:eastAsia="Merriweather" w:hAnsi="Sylfaen" w:cs="Merriweather"/>
          <w:sz w:val="24"/>
          <w:szCs w:val="24"/>
          <w:lang w:val="ka-GE"/>
        </w:rPr>
        <w:t>ი</w:t>
      </w:r>
      <w:r w:rsidRPr="002A445F">
        <w:rPr>
          <w:rFonts w:ascii="Sylfaen" w:eastAsia="Merriweather" w:hAnsi="Sylfaen" w:cs="Merriweather"/>
          <w:sz w:val="24"/>
          <w:szCs w:val="24"/>
          <w:lang w:val="ka-GE"/>
        </w:rPr>
        <w:t xml:space="preserve"> ასაკობრივ</w:t>
      </w:r>
      <w:r w:rsidR="00C1771C" w:rsidRPr="002A445F">
        <w:rPr>
          <w:rFonts w:ascii="Sylfaen" w:eastAsia="Merriweather" w:hAnsi="Sylfaen" w:cs="Merriweather"/>
          <w:sz w:val="24"/>
          <w:szCs w:val="24"/>
          <w:lang w:val="ka-GE"/>
        </w:rPr>
        <w:t>ი</w:t>
      </w:r>
      <w:r w:rsidRPr="002A445F">
        <w:rPr>
          <w:rFonts w:ascii="Sylfaen" w:eastAsia="Merriweather" w:hAnsi="Sylfaen" w:cs="Merriweather"/>
          <w:sz w:val="24"/>
          <w:szCs w:val="24"/>
          <w:lang w:val="ka-GE"/>
        </w:rPr>
        <w:t xml:space="preserve"> </w:t>
      </w:r>
      <w:r w:rsidR="00C1771C" w:rsidRPr="002A445F">
        <w:rPr>
          <w:rFonts w:ascii="Sylfaen" w:eastAsia="Merriweather" w:hAnsi="Sylfaen" w:cs="Merriweather"/>
          <w:sz w:val="24"/>
          <w:szCs w:val="24"/>
          <w:lang w:val="ka-GE"/>
        </w:rPr>
        <w:t>ბარიერი</w:t>
      </w:r>
      <w:r w:rsidRPr="002A445F">
        <w:rPr>
          <w:rFonts w:ascii="Sylfaen" w:eastAsia="Merriweather" w:hAnsi="Sylfaen" w:cs="Merriweather"/>
          <w:sz w:val="24"/>
          <w:szCs w:val="24"/>
          <w:lang w:val="ka-GE"/>
        </w:rPr>
        <w:t xml:space="preserve"> </w:t>
      </w:r>
      <w:r w:rsidR="00C1771C" w:rsidRPr="002A445F">
        <w:rPr>
          <w:rFonts w:ascii="Sylfaen" w:eastAsia="Merriweather" w:hAnsi="Sylfaen" w:cs="Merriweather"/>
          <w:sz w:val="24"/>
          <w:szCs w:val="24"/>
          <w:lang w:val="ka-GE"/>
        </w:rPr>
        <w:t xml:space="preserve"> </w:t>
      </w:r>
      <w:r w:rsidRPr="002A445F">
        <w:rPr>
          <w:rFonts w:ascii="Sylfaen" w:eastAsia="Merriweather" w:hAnsi="Sylfaen" w:cs="Merriweather"/>
          <w:sz w:val="24"/>
          <w:szCs w:val="24"/>
          <w:lang w:val="ka-GE"/>
        </w:rPr>
        <w:t xml:space="preserve">„ჯეროვანი მართლმსაჯულების </w:t>
      </w:r>
      <w:r w:rsidR="00C1771C" w:rsidRPr="002A445F">
        <w:rPr>
          <w:rFonts w:ascii="Sylfaen" w:eastAsia="Merriweather" w:hAnsi="Sylfaen" w:cs="Merriweather"/>
          <w:sz w:val="24"/>
          <w:szCs w:val="24"/>
          <w:lang w:val="ka-GE"/>
        </w:rPr>
        <w:t>განხორციელებას“</w:t>
      </w:r>
      <w:r w:rsidRPr="002A445F">
        <w:rPr>
          <w:rFonts w:ascii="Sylfaen" w:eastAsia="Merriweather" w:hAnsi="Sylfaen" w:cs="Merriweather"/>
          <w:sz w:val="24"/>
          <w:szCs w:val="24"/>
          <w:lang w:val="ka-GE"/>
        </w:rPr>
        <w:t xml:space="preserve"> </w:t>
      </w:r>
      <w:r w:rsidR="00C1771C" w:rsidRPr="002A445F">
        <w:rPr>
          <w:rFonts w:ascii="Sylfaen" w:eastAsia="Merriweather" w:hAnsi="Sylfaen" w:cs="Merriweather"/>
          <w:sz w:val="24"/>
          <w:szCs w:val="24"/>
          <w:lang w:val="ka-GE"/>
        </w:rPr>
        <w:t xml:space="preserve"> ანდა</w:t>
      </w:r>
      <w:r w:rsidRPr="002A445F">
        <w:rPr>
          <w:rFonts w:ascii="Sylfaen" w:eastAsia="Merriweather" w:hAnsi="Sylfaen" w:cs="Merriweather"/>
          <w:sz w:val="24"/>
          <w:szCs w:val="24"/>
          <w:lang w:val="ka-GE"/>
        </w:rPr>
        <w:t xml:space="preserve"> </w:t>
      </w:r>
      <w:r w:rsidR="00C1771C" w:rsidRPr="002A445F">
        <w:rPr>
          <w:rFonts w:ascii="Sylfaen" w:eastAsia="Merriweather" w:hAnsi="Sylfaen" w:cs="Merriweather"/>
          <w:sz w:val="24"/>
          <w:szCs w:val="24"/>
          <w:lang w:val="ka-GE"/>
        </w:rPr>
        <w:t>„</w:t>
      </w:r>
      <w:r w:rsidRPr="002A445F">
        <w:rPr>
          <w:rFonts w:ascii="Sylfaen" w:eastAsia="Merriweather" w:hAnsi="Sylfaen" w:cs="Merriweather"/>
          <w:sz w:val="24"/>
          <w:szCs w:val="24"/>
          <w:lang w:val="ka-GE"/>
        </w:rPr>
        <w:t>სასამართლოსადმი საზოგადოების ნდობის განმტკიცება</w:t>
      </w:r>
      <w:r w:rsidR="00C1771C" w:rsidRPr="002A445F">
        <w:rPr>
          <w:rFonts w:ascii="Sylfaen" w:eastAsia="Merriweather" w:hAnsi="Sylfaen" w:cs="Merriweather"/>
          <w:sz w:val="24"/>
          <w:szCs w:val="24"/>
          <w:lang w:val="ka-GE"/>
        </w:rPr>
        <w:t>ს</w:t>
      </w:r>
      <w:r w:rsidRPr="002A445F">
        <w:rPr>
          <w:rFonts w:ascii="Sylfaen" w:eastAsia="Merriweather" w:hAnsi="Sylfaen" w:cs="Merriweather"/>
          <w:sz w:val="24"/>
          <w:szCs w:val="24"/>
          <w:lang w:val="ka-GE"/>
        </w:rPr>
        <w:t>“</w:t>
      </w:r>
      <w:r w:rsidR="00C1771C" w:rsidRPr="002A445F">
        <w:rPr>
          <w:rFonts w:ascii="Sylfaen" w:eastAsia="Merriweather" w:hAnsi="Sylfaen" w:cs="Merriweather"/>
          <w:sz w:val="24"/>
          <w:szCs w:val="24"/>
          <w:lang w:val="ka-GE"/>
        </w:rPr>
        <w:t xml:space="preserve">, თუკი სასამართლო სისტემას  ნაადრევად  </w:t>
      </w:r>
      <w:r w:rsidR="00F3035A" w:rsidRPr="002A445F">
        <w:rPr>
          <w:rFonts w:ascii="Sylfaen" w:eastAsia="Merriweather" w:hAnsi="Sylfaen" w:cs="Merriweather"/>
          <w:sz w:val="24"/>
          <w:szCs w:val="24"/>
          <w:lang w:val="ka-GE"/>
        </w:rPr>
        <w:t>გამოაკლდება</w:t>
      </w:r>
      <w:r w:rsidR="00C1771C" w:rsidRPr="002A445F">
        <w:rPr>
          <w:rFonts w:ascii="Sylfaen" w:eastAsia="Merriweather" w:hAnsi="Sylfaen" w:cs="Merriweather"/>
          <w:sz w:val="24"/>
          <w:szCs w:val="24"/>
          <w:lang w:val="ka-GE"/>
        </w:rPr>
        <w:t xml:space="preserve"> </w:t>
      </w:r>
      <w:r w:rsidR="00F3035A" w:rsidRPr="002A445F">
        <w:rPr>
          <w:rFonts w:ascii="Sylfaen" w:eastAsia="Merriweather" w:hAnsi="Sylfaen" w:cs="Merriweather"/>
          <w:sz w:val="24"/>
          <w:szCs w:val="24"/>
          <w:lang w:val="ka-GE"/>
        </w:rPr>
        <w:t>გამოცდილი</w:t>
      </w:r>
      <w:r w:rsidR="00C1771C" w:rsidRPr="002A445F">
        <w:rPr>
          <w:rFonts w:ascii="Sylfaen" w:eastAsia="Merriweather" w:hAnsi="Sylfaen" w:cs="Merriweather"/>
          <w:sz w:val="24"/>
          <w:szCs w:val="24"/>
          <w:lang w:val="ka-GE"/>
        </w:rPr>
        <w:t xml:space="preserve"> </w:t>
      </w:r>
      <w:r w:rsidR="00F3035A" w:rsidRPr="002A445F">
        <w:rPr>
          <w:rFonts w:ascii="Sylfaen" w:eastAsia="Merriweather" w:hAnsi="Sylfaen" w:cs="Merriweather"/>
          <w:sz w:val="24"/>
          <w:szCs w:val="24"/>
          <w:lang w:val="ka-GE"/>
        </w:rPr>
        <w:t xml:space="preserve">მოსამართლეები ისეთ პირობებში, როდესაც </w:t>
      </w:r>
      <w:r w:rsidR="00BA527A" w:rsidRPr="002A445F">
        <w:rPr>
          <w:rFonts w:ascii="Sylfaen" w:eastAsia="Merriweather" w:hAnsi="Sylfaen" w:cs="Merriweather"/>
          <w:sz w:val="24"/>
          <w:szCs w:val="24"/>
          <w:lang w:val="ka-GE"/>
        </w:rPr>
        <w:t>მათ</w:t>
      </w:r>
      <w:r w:rsidR="00F3035A" w:rsidRPr="002A445F">
        <w:rPr>
          <w:rFonts w:ascii="Sylfaen" w:eastAsia="Merriweather" w:hAnsi="Sylfaen" w:cs="Merriweather"/>
          <w:sz w:val="24"/>
          <w:szCs w:val="24"/>
          <w:lang w:val="ka-GE"/>
        </w:rPr>
        <w:t xml:space="preserve"> </w:t>
      </w:r>
      <w:r w:rsidR="00457061" w:rsidRPr="002A445F">
        <w:rPr>
          <w:rFonts w:ascii="Sylfaen" w:eastAsia="Merriweather" w:hAnsi="Sylfaen" w:cs="Merriweather"/>
          <w:sz w:val="24"/>
          <w:szCs w:val="24"/>
          <w:lang w:val="ka-GE"/>
        </w:rPr>
        <w:t>დიდ</w:t>
      </w:r>
      <w:r w:rsidR="00BA527A" w:rsidRPr="002A445F">
        <w:rPr>
          <w:rFonts w:ascii="Sylfaen" w:eastAsia="Merriweather" w:hAnsi="Sylfaen" w:cs="Merriweather"/>
          <w:sz w:val="24"/>
          <w:szCs w:val="24"/>
          <w:lang w:val="ka-GE"/>
        </w:rPr>
        <w:t xml:space="preserve"> </w:t>
      </w:r>
      <w:r w:rsidR="00F3035A" w:rsidRPr="002A445F">
        <w:rPr>
          <w:rFonts w:ascii="Sylfaen" w:eastAsia="Merriweather" w:hAnsi="Sylfaen" w:cs="Merriweather"/>
          <w:sz w:val="24"/>
          <w:szCs w:val="24"/>
          <w:lang w:val="ka-GE"/>
        </w:rPr>
        <w:t xml:space="preserve">უმრავლესობას, </w:t>
      </w:r>
      <w:r w:rsidR="00457061" w:rsidRPr="002A445F">
        <w:rPr>
          <w:rFonts w:ascii="Sylfaen" w:eastAsia="Merriweather" w:hAnsi="Sylfaen" w:cs="Merriweather"/>
          <w:sz w:val="24"/>
          <w:szCs w:val="24"/>
          <w:lang w:val="ka-GE"/>
        </w:rPr>
        <w:t xml:space="preserve"> </w:t>
      </w:r>
      <w:r w:rsidR="00F3035A" w:rsidRPr="002A445F">
        <w:rPr>
          <w:rFonts w:ascii="Sylfaen" w:eastAsia="Merriweather" w:hAnsi="Sylfaen" w:cs="Merriweather"/>
          <w:sz w:val="24"/>
          <w:szCs w:val="24"/>
          <w:lang w:val="ka-GE"/>
        </w:rPr>
        <w:t xml:space="preserve"> </w:t>
      </w:r>
      <w:r w:rsidR="00F3035A" w:rsidRPr="002A445F">
        <w:rPr>
          <w:rFonts w:ascii="Sylfaen" w:eastAsia="Merriweather" w:hAnsi="Sylfaen" w:cs="Merriweather"/>
          <w:sz w:val="24"/>
          <w:szCs w:val="24"/>
          <w:lang w:val="ka-GE"/>
        </w:rPr>
        <w:lastRenderedPageBreak/>
        <w:t>შენარჩუნებული აქვს</w:t>
      </w:r>
      <w:r w:rsidR="00457061" w:rsidRPr="002A445F">
        <w:rPr>
          <w:rFonts w:ascii="Sylfaen" w:eastAsia="Merriweather" w:hAnsi="Sylfaen" w:cs="Merriweather"/>
          <w:sz w:val="24"/>
          <w:szCs w:val="24"/>
          <w:lang w:val="ka-GE"/>
        </w:rPr>
        <w:t xml:space="preserve"> (რაკი საპირი</w:t>
      </w:r>
      <w:r w:rsidR="00E14AD2" w:rsidRPr="002A445F">
        <w:rPr>
          <w:rFonts w:ascii="Sylfaen" w:eastAsia="Merriweather" w:hAnsi="Sylfaen" w:cs="Merriweather"/>
          <w:sz w:val="24"/>
          <w:szCs w:val="24"/>
          <w:lang w:val="ka-GE"/>
        </w:rPr>
        <w:t>ს</w:t>
      </w:r>
      <w:r w:rsidR="00457061" w:rsidRPr="002A445F">
        <w:rPr>
          <w:rFonts w:ascii="Sylfaen" w:eastAsia="Merriweather" w:hAnsi="Sylfaen" w:cs="Merriweather"/>
          <w:sz w:val="24"/>
          <w:szCs w:val="24"/>
          <w:lang w:val="ka-GE"/>
        </w:rPr>
        <w:t xml:space="preserve">პირო ვერ იქნა დადგენილი) </w:t>
      </w:r>
      <w:r w:rsidR="00F3035A" w:rsidRPr="002A445F">
        <w:rPr>
          <w:rFonts w:ascii="Sylfaen" w:eastAsia="Merriweather" w:hAnsi="Sylfaen" w:cs="Merriweather"/>
          <w:sz w:val="24"/>
          <w:szCs w:val="24"/>
          <w:lang w:val="ka-GE"/>
        </w:rPr>
        <w:t>სამოსამართლო ფუნქციების ჯეროვნად განხორციელების შესაძლებლობა</w:t>
      </w:r>
      <w:r w:rsidR="00457061" w:rsidRPr="002A445F">
        <w:rPr>
          <w:rFonts w:ascii="Sylfaen" w:eastAsia="Merriweather" w:hAnsi="Sylfaen" w:cs="Merriweather"/>
          <w:sz w:val="24"/>
          <w:szCs w:val="24"/>
          <w:lang w:val="ka-GE"/>
        </w:rPr>
        <w:t xml:space="preserve">, </w:t>
      </w:r>
    </w:p>
    <w:p w14:paraId="673444AC" w14:textId="77777777" w:rsidR="00FD6087" w:rsidRPr="002A445F" w:rsidRDefault="00DB47AB"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2A445F">
        <w:rPr>
          <w:rFonts w:ascii="Sylfaen" w:eastAsia="Merriweather" w:hAnsi="Sylfaen" w:cs="Merriweather"/>
          <w:sz w:val="24"/>
          <w:szCs w:val="24"/>
          <w:lang w:val="ka-GE"/>
        </w:rPr>
        <w:t xml:space="preserve">კიდევ უფრო მიზანსაცდენილია სხვა მსჯელობები, მაგალითად, იმის თაობაზე, რომ სასამართლო ხელისუფლება მთლიანობაში </w:t>
      </w:r>
      <w:r w:rsidR="002A7236" w:rsidRPr="002A445F">
        <w:rPr>
          <w:rFonts w:ascii="Sylfaen" w:eastAsia="Merriweather" w:hAnsi="Sylfaen" w:cs="Merriweather"/>
          <w:sz w:val="24"/>
          <w:szCs w:val="24"/>
          <w:lang w:val="ka-GE"/>
        </w:rPr>
        <w:t xml:space="preserve">უნდა </w:t>
      </w:r>
      <w:r w:rsidRPr="002A445F">
        <w:rPr>
          <w:rFonts w:ascii="Sylfaen" w:eastAsia="Merriweather" w:hAnsi="Sylfaen" w:cs="Merriweather"/>
          <w:sz w:val="24"/>
          <w:szCs w:val="24"/>
          <w:lang w:val="ka-GE"/>
        </w:rPr>
        <w:t xml:space="preserve">პასუხობდეს მის წინაშე მდგარ მთავარ გამოწვევას – </w:t>
      </w:r>
      <w:r w:rsidR="002A7236" w:rsidRPr="002A445F">
        <w:rPr>
          <w:rFonts w:ascii="Sylfaen" w:eastAsia="Merriweather" w:hAnsi="Sylfaen" w:cs="Merriweather"/>
          <w:sz w:val="24"/>
          <w:szCs w:val="24"/>
          <w:lang w:val="ka-GE"/>
        </w:rPr>
        <w:t>„</w:t>
      </w:r>
      <w:r w:rsidRPr="002A445F">
        <w:rPr>
          <w:rFonts w:ascii="Sylfaen" w:eastAsia="Merriweather" w:hAnsi="Sylfaen" w:cs="Merriweather"/>
          <w:sz w:val="24"/>
          <w:szCs w:val="24"/>
          <w:lang w:val="ka-GE"/>
        </w:rPr>
        <w:t>უზრუნველყოს სამართლიანი მართლმსაჯულება, რისთვისაც ის აღჭურვილი უნდა იყოს სამართლიანი სასამართლოს უფლების რეალიზაციისთვის აუცილებელი ყველა საჭირო, ადეკვატური და საკმარისი ბერკეტით.“</w:t>
      </w:r>
      <w:r w:rsidR="00FD6087" w:rsidRPr="002A445F">
        <w:rPr>
          <w:rFonts w:ascii="Sylfaen" w:eastAsia="Merriweather" w:hAnsi="Sylfaen" w:cs="Merriweather"/>
          <w:b/>
          <w:sz w:val="24"/>
          <w:szCs w:val="24"/>
          <w:lang w:val="ka-GE"/>
        </w:rPr>
        <w:t xml:space="preserve"> </w:t>
      </w:r>
      <w:r w:rsidR="00FD6087" w:rsidRPr="002A445F">
        <w:rPr>
          <w:rFonts w:ascii="Sylfaen" w:eastAsia="Merriweather" w:hAnsi="Sylfaen" w:cs="Merriweather"/>
          <w:bCs/>
          <w:sz w:val="24"/>
          <w:szCs w:val="24"/>
          <w:lang w:val="ka-GE"/>
        </w:rPr>
        <w:t xml:space="preserve">(იხ. სამოტივაციო ნაწილის </w:t>
      </w:r>
      <w:r w:rsidRPr="002A445F">
        <w:rPr>
          <w:rFonts w:ascii="Sylfaen" w:eastAsia="Merriweather" w:hAnsi="Sylfaen" w:cs="Merriweather"/>
          <w:bCs/>
          <w:sz w:val="24"/>
          <w:szCs w:val="24"/>
          <w:lang w:val="ka-GE"/>
        </w:rPr>
        <w:t>5</w:t>
      </w:r>
      <w:r w:rsidR="00DE6A62" w:rsidRPr="002A445F">
        <w:rPr>
          <w:rFonts w:ascii="Sylfaen" w:eastAsia="Merriweather" w:hAnsi="Sylfaen" w:cs="Merriweather"/>
          <w:bCs/>
          <w:sz w:val="24"/>
          <w:szCs w:val="24"/>
          <w:lang w:val="ka-GE"/>
        </w:rPr>
        <w:t>1</w:t>
      </w:r>
      <w:r w:rsidR="00FD6087" w:rsidRPr="002A445F">
        <w:rPr>
          <w:rFonts w:ascii="Sylfaen" w:eastAsia="Merriweather" w:hAnsi="Sylfaen" w:cs="Merriweather"/>
          <w:bCs/>
          <w:sz w:val="24"/>
          <w:szCs w:val="24"/>
          <w:lang w:val="ka-GE"/>
        </w:rPr>
        <w:t>-ე პუნქტი)</w:t>
      </w:r>
      <w:r w:rsidRPr="002A445F">
        <w:rPr>
          <w:rFonts w:ascii="Sylfaen" w:eastAsia="Merriweather" w:hAnsi="Sylfaen" w:cs="Merriweather"/>
          <w:bCs/>
          <w:sz w:val="24"/>
          <w:szCs w:val="24"/>
          <w:lang w:val="ka-GE"/>
        </w:rPr>
        <w:t>.</w:t>
      </w:r>
      <w:r w:rsidRPr="002A445F">
        <w:rPr>
          <w:rFonts w:ascii="Sylfaen" w:eastAsia="Merriweather" w:hAnsi="Sylfaen" w:cs="Merriweather"/>
          <w:b/>
          <w:sz w:val="24"/>
          <w:szCs w:val="24"/>
          <w:lang w:val="ka-GE"/>
        </w:rPr>
        <w:t xml:space="preserve"> </w:t>
      </w:r>
      <w:r w:rsidR="00457061" w:rsidRPr="002A445F">
        <w:rPr>
          <w:rFonts w:ascii="Sylfaen" w:eastAsia="Merriweather" w:hAnsi="Sylfaen" w:cs="Merriweather"/>
          <w:sz w:val="24"/>
          <w:szCs w:val="24"/>
          <w:lang w:val="ka-GE"/>
        </w:rPr>
        <w:t>გასაგები არ არის</w:t>
      </w:r>
      <w:r w:rsidRPr="002A445F">
        <w:rPr>
          <w:rFonts w:ascii="Sylfaen" w:eastAsia="Merriweather" w:hAnsi="Sylfaen" w:cs="Merriweather"/>
          <w:sz w:val="24"/>
          <w:szCs w:val="24"/>
          <w:lang w:val="ka-GE"/>
        </w:rPr>
        <w:t xml:space="preserve">, რა </w:t>
      </w:r>
      <w:r w:rsidR="00457061" w:rsidRPr="002A445F">
        <w:rPr>
          <w:rFonts w:ascii="Sylfaen" w:eastAsia="Merriweather" w:hAnsi="Sylfaen" w:cs="Merriweather"/>
          <w:sz w:val="24"/>
          <w:szCs w:val="24"/>
          <w:lang w:val="ka-GE"/>
        </w:rPr>
        <w:t xml:space="preserve">პირდაპირი </w:t>
      </w:r>
      <w:r w:rsidRPr="002A445F">
        <w:rPr>
          <w:rFonts w:ascii="Sylfaen" w:eastAsia="Merriweather" w:hAnsi="Sylfaen" w:cs="Merriweather"/>
          <w:sz w:val="24"/>
          <w:szCs w:val="24"/>
          <w:lang w:val="ka-GE"/>
        </w:rPr>
        <w:t xml:space="preserve">მიზეზ-შედეგობრივი კავშირია </w:t>
      </w:r>
      <w:r w:rsidR="00457061" w:rsidRPr="002A445F">
        <w:rPr>
          <w:rFonts w:ascii="Sylfaen" w:eastAsia="Merriweather" w:hAnsi="Sylfaen" w:cs="Merriweather"/>
          <w:sz w:val="24"/>
          <w:szCs w:val="24"/>
          <w:lang w:val="ka-GE"/>
        </w:rPr>
        <w:t xml:space="preserve">მართლმსაჯულების სამართლიანობასა </w:t>
      </w:r>
      <w:r w:rsidRPr="002A445F">
        <w:rPr>
          <w:rFonts w:ascii="Sylfaen" w:eastAsia="Merriweather" w:hAnsi="Sylfaen" w:cs="Merriweather"/>
          <w:sz w:val="24"/>
          <w:szCs w:val="24"/>
          <w:lang w:val="ka-GE"/>
        </w:rPr>
        <w:t>და 65 წლის სავალდებულო საპენსიო ასაკად განსა</w:t>
      </w:r>
      <w:r w:rsidR="0077345C" w:rsidRPr="002A445F">
        <w:rPr>
          <w:rFonts w:ascii="Sylfaen" w:eastAsia="Merriweather" w:hAnsi="Sylfaen" w:cs="Merriweather"/>
          <w:sz w:val="24"/>
          <w:szCs w:val="24"/>
          <w:lang w:val="ka-GE"/>
        </w:rPr>
        <w:t>ზღ</w:t>
      </w:r>
      <w:r w:rsidRPr="002A445F">
        <w:rPr>
          <w:rFonts w:ascii="Sylfaen" w:eastAsia="Merriweather" w:hAnsi="Sylfaen" w:cs="Merriweather"/>
          <w:sz w:val="24"/>
          <w:szCs w:val="24"/>
          <w:lang w:val="ka-GE"/>
        </w:rPr>
        <w:t>ვრას შორის</w:t>
      </w:r>
      <w:r w:rsidR="00457061" w:rsidRPr="002A445F">
        <w:rPr>
          <w:rFonts w:ascii="Sylfaen" w:eastAsia="Merriweather" w:hAnsi="Sylfaen" w:cs="Merriweather"/>
          <w:sz w:val="24"/>
          <w:szCs w:val="24"/>
          <w:lang w:val="ka-GE"/>
        </w:rPr>
        <w:t>.</w:t>
      </w:r>
      <w:r w:rsidRPr="002A445F">
        <w:rPr>
          <w:rFonts w:ascii="Sylfaen" w:eastAsia="Merriweather" w:hAnsi="Sylfaen" w:cs="Merriweather"/>
          <w:sz w:val="24"/>
          <w:szCs w:val="24"/>
          <w:lang w:val="ka-GE"/>
        </w:rPr>
        <w:t xml:space="preserve"> კიდევაც </w:t>
      </w:r>
      <w:r w:rsidR="00FD6087" w:rsidRPr="002A445F">
        <w:rPr>
          <w:rFonts w:ascii="Sylfaen" w:eastAsia="Merriweather" w:hAnsi="Sylfaen" w:cs="Merriweather"/>
          <w:sz w:val="24"/>
          <w:szCs w:val="24"/>
          <w:lang w:val="ka-GE"/>
        </w:rPr>
        <w:t>დადასტურებულად</w:t>
      </w:r>
      <w:r w:rsidRPr="002A445F">
        <w:rPr>
          <w:rFonts w:ascii="Sylfaen" w:eastAsia="Merriweather" w:hAnsi="Sylfaen" w:cs="Merriweather"/>
          <w:sz w:val="24"/>
          <w:szCs w:val="24"/>
          <w:lang w:val="ka-GE"/>
        </w:rPr>
        <w:t xml:space="preserve"> მივიჩნიოთ ის გარემოება, რომ 65 წელზე მეტი ხნის მოსამართლეების სასამართლო სისტემაში დარჩენა,</w:t>
      </w:r>
      <w:r w:rsidR="002A7236" w:rsidRPr="002A445F">
        <w:rPr>
          <w:rFonts w:ascii="Sylfaen" w:eastAsia="Merriweather" w:hAnsi="Sylfaen" w:cs="Merriweather"/>
          <w:sz w:val="24"/>
          <w:szCs w:val="24"/>
          <w:lang w:val="ka-GE"/>
        </w:rPr>
        <w:t xml:space="preserve"> რამდენადმე</w:t>
      </w:r>
      <w:r w:rsidRPr="002A445F">
        <w:rPr>
          <w:rFonts w:ascii="Sylfaen" w:eastAsia="Merriweather" w:hAnsi="Sylfaen" w:cs="Merriweather"/>
          <w:sz w:val="24"/>
          <w:szCs w:val="24"/>
          <w:lang w:val="ka-GE"/>
        </w:rPr>
        <w:t xml:space="preserve"> აუარესებს მართლმსაჯულების ეფექტიანობას, მას </w:t>
      </w:r>
      <w:r w:rsidR="0077345C" w:rsidRPr="002A445F">
        <w:rPr>
          <w:rFonts w:ascii="Sylfaen" w:eastAsia="Merriweather" w:hAnsi="Sylfaen" w:cs="Merriweather"/>
          <w:sz w:val="24"/>
          <w:szCs w:val="24"/>
          <w:lang w:val="ka-GE"/>
        </w:rPr>
        <w:t>მაინც არ აქვს პირდაპირი კავშირი სამართლიანი  სასამართლოს</w:t>
      </w:r>
      <w:r w:rsidR="00457061" w:rsidRPr="002A445F">
        <w:rPr>
          <w:rFonts w:ascii="Sylfaen" w:eastAsia="Merriweather" w:hAnsi="Sylfaen" w:cs="Merriweather"/>
          <w:sz w:val="24"/>
          <w:szCs w:val="24"/>
          <w:lang w:val="ka-GE"/>
        </w:rPr>
        <w:t xml:space="preserve"> პროცედურული</w:t>
      </w:r>
      <w:r w:rsidR="0077345C" w:rsidRPr="002A445F">
        <w:rPr>
          <w:rFonts w:ascii="Sylfaen" w:eastAsia="Merriweather" w:hAnsi="Sylfaen" w:cs="Merriweather"/>
          <w:sz w:val="24"/>
          <w:szCs w:val="24"/>
          <w:lang w:val="ka-GE"/>
        </w:rPr>
        <w:t xml:space="preserve"> უფლების რეალიზაციასთან.</w:t>
      </w:r>
    </w:p>
    <w:p w14:paraId="247284C7" w14:textId="77777777" w:rsidR="00FD6087" w:rsidRPr="002A445F" w:rsidRDefault="000B2B47"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2A445F">
        <w:rPr>
          <w:rFonts w:ascii="Sylfaen" w:eastAsia="Merriweather" w:hAnsi="Sylfaen" w:cs="Merriweather"/>
          <w:sz w:val="24"/>
          <w:szCs w:val="24"/>
          <w:lang w:val="ka-GE"/>
        </w:rPr>
        <w:t>სას</w:t>
      </w:r>
      <w:r w:rsidR="005E4467" w:rsidRPr="002A445F">
        <w:rPr>
          <w:rFonts w:ascii="Sylfaen" w:eastAsia="Merriweather" w:hAnsi="Sylfaen" w:cs="Merriweather"/>
          <w:sz w:val="24"/>
          <w:szCs w:val="24"/>
          <w:lang w:val="ka-GE"/>
        </w:rPr>
        <w:t>ა</w:t>
      </w:r>
      <w:r w:rsidRPr="002A445F">
        <w:rPr>
          <w:rFonts w:ascii="Sylfaen" w:eastAsia="Merriweather" w:hAnsi="Sylfaen" w:cs="Merriweather"/>
          <w:sz w:val="24"/>
          <w:szCs w:val="24"/>
          <w:lang w:val="ka-GE"/>
        </w:rPr>
        <w:t xml:space="preserve">მართლოს ლეგიტიმურ </w:t>
      </w:r>
      <w:r w:rsidR="005E4467" w:rsidRPr="002A445F">
        <w:rPr>
          <w:rFonts w:ascii="Sylfaen" w:eastAsia="Merriweather" w:hAnsi="Sylfaen" w:cs="Merriweather"/>
          <w:sz w:val="24"/>
          <w:szCs w:val="24"/>
          <w:lang w:val="ka-GE"/>
        </w:rPr>
        <w:t>მიზნ</w:t>
      </w:r>
      <w:r w:rsidRPr="002A445F">
        <w:rPr>
          <w:rFonts w:ascii="Sylfaen" w:eastAsia="Merriweather" w:hAnsi="Sylfaen" w:cs="Merriweather"/>
          <w:sz w:val="24"/>
          <w:szCs w:val="24"/>
          <w:lang w:val="ka-GE"/>
        </w:rPr>
        <w:t xml:space="preserve">ად </w:t>
      </w:r>
      <w:r w:rsidR="005E4467" w:rsidRPr="002A445F">
        <w:rPr>
          <w:rFonts w:ascii="Sylfaen" w:eastAsia="Merriweather" w:hAnsi="Sylfaen" w:cs="Merriweather"/>
          <w:sz w:val="24"/>
          <w:szCs w:val="24"/>
          <w:lang w:val="ka-GE"/>
        </w:rPr>
        <w:t xml:space="preserve">პირდაპირ </w:t>
      </w:r>
      <w:r w:rsidRPr="002A445F">
        <w:rPr>
          <w:rFonts w:ascii="Sylfaen" w:eastAsia="Merriweather" w:hAnsi="Sylfaen" w:cs="Merriweather"/>
          <w:sz w:val="24"/>
          <w:szCs w:val="24"/>
          <w:lang w:val="ka-GE"/>
        </w:rPr>
        <w:t>არ დაუსახელებია სასამართლო სისტემაში თაობათა ცვლა</w:t>
      </w:r>
      <w:r w:rsidR="005E4467" w:rsidRPr="002A445F">
        <w:rPr>
          <w:rFonts w:ascii="Sylfaen" w:eastAsia="Merriweather" w:hAnsi="Sylfaen" w:cs="Merriweather"/>
          <w:sz w:val="24"/>
          <w:szCs w:val="24"/>
          <w:lang w:val="ka-GE"/>
        </w:rPr>
        <w:t>, თუმცა, შეზღუდვის პროპორციულობაზე მსჯელობისას იგი შეზღუდვით დაცულ სიკეთედ მოიხსენია. კერძოდ, სასამართლოს განმარტებით,  „</w:t>
      </w:r>
      <w:r w:rsidR="00DE6A62" w:rsidRPr="002A445F">
        <w:rPr>
          <w:rFonts w:ascii="Sylfaen" w:eastAsia="Merriweather" w:hAnsi="Sylfaen" w:cs="Merriweather"/>
          <w:sz w:val="24"/>
          <w:szCs w:val="24"/>
          <w:lang w:val="ka-GE"/>
        </w:rPr>
        <w:t xml:space="preserve">მოსამართლის </w:t>
      </w:r>
      <w:r w:rsidR="00DE6A62" w:rsidRPr="002A445F">
        <w:rPr>
          <w:rFonts w:ascii="Sylfaen" w:eastAsia="Merriweather" w:hAnsi="Sylfaen" w:cs="Merriweather"/>
          <w:b/>
          <w:sz w:val="24"/>
          <w:szCs w:val="24"/>
          <w:lang w:val="ka-GE"/>
        </w:rPr>
        <w:t>ფიქსირებული სავალდებულო საპენსიო ასაკი</w:t>
      </w:r>
      <w:r w:rsidR="00DE6A62" w:rsidRPr="002A445F">
        <w:rPr>
          <w:rFonts w:ascii="Sylfaen" w:eastAsia="Merriweather" w:hAnsi="Sylfaen" w:cs="Merriweather"/>
          <w:sz w:val="24"/>
          <w:szCs w:val="24"/>
          <w:lang w:val="ka-GE"/>
        </w:rPr>
        <w:t xml:space="preserve"> </w:t>
      </w:r>
      <w:r w:rsidR="00811BA4" w:rsidRPr="002A445F">
        <w:rPr>
          <w:rFonts w:ascii="Sylfaen" w:eastAsia="Merriweather" w:hAnsi="Sylfaen" w:cs="Merriweather"/>
          <w:sz w:val="24"/>
          <w:szCs w:val="24"/>
          <w:lang w:val="ka-GE"/>
        </w:rPr>
        <w:t xml:space="preserve">(ხაზგასმა ჩემია) </w:t>
      </w:r>
      <w:r w:rsidR="00DE6A62" w:rsidRPr="002A445F">
        <w:rPr>
          <w:rFonts w:ascii="Sylfaen" w:eastAsia="Merriweather" w:hAnsi="Sylfaen" w:cs="Merriweather"/>
          <w:sz w:val="24"/>
          <w:szCs w:val="24"/>
          <w:lang w:val="ka-GE"/>
        </w:rPr>
        <w:t>ხელს უწყობს სასამართლო ხელისუფლებას, ეფექტიანად და შეუფერხებლად დაგეგმოს საკადრო პოლიტიკა, გზა გაუხსნას ახალგაზრდა პროფესიონალებს დაიკავონ მოსამართლის ვაკანტური თანამდებობა, რაც, საბოლოო ჯამში, ემსახურება ჯეროვანი მართლმსაჯულებისა და სასამართლოსადმი საზოგადოების ნდობის განმტკიცების ინტერესებს</w:t>
      </w:r>
      <w:r w:rsidR="005E4467" w:rsidRPr="002A445F">
        <w:rPr>
          <w:rFonts w:ascii="Sylfaen" w:eastAsia="Merriweather" w:hAnsi="Sylfaen" w:cs="Merriweather"/>
          <w:sz w:val="24"/>
          <w:szCs w:val="24"/>
          <w:lang w:val="ka-GE"/>
        </w:rPr>
        <w:t>“</w:t>
      </w:r>
      <w:r w:rsidR="00DE6A62" w:rsidRPr="002A445F">
        <w:rPr>
          <w:rFonts w:ascii="Sylfaen" w:eastAsia="Merriweather" w:hAnsi="Sylfaen" w:cs="Merriweather"/>
          <w:sz w:val="24"/>
          <w:szCs w:val="24"/>
          <w:lang w:val="ka-GE"/>
        </w:rPr>
        <w:t>.</w:t>
      </w:r>
      <w:r w:rsidR="00DE6A62" w:rsidRPr="002A445F">
        <w:rPr>
          <w:rFonts w:ascii="Sylfaen" w:eastAsia="Merriweather" w:hAnsi="Sylfaen" w:cs="Merriweather"/>
          <w:sz w:val="24"/>
          <w:szCs w:val="24"/>
        </w:rPr>
        <w:t xml:space="preserve"> (</w:t>
      </w:r>
      <w:r w:rsidR="00FD6087" w:rsidRPr="002A445F">
        <w:rPr>
          <w:rFonts w:ascii="Sylfaen" w:eastAsia="Merriweather" w:hAnsi="Sylfaen" w:cs="Merriweather"/>
          <w:sz w:val="24"/>
          <w:szCs w:val="24"/>
        </w:rPr>
        <w:t xml:space="preserve">იხ. სამოტივაციო ნაწილის </w:t>
      </w:r>
      <w:r w:rsidR="00DE6A62" w:rsidRPr="002A445F">
        <w:rPr>
          <w:rFonts w:ascii="Sylfaen" w:eastAsia="Merriweather" w:hAnsi="Sylfaen" w:cs="Merriweather"/>
          <w:sz w:val="24"/>
          <w:szCs w:val="24"/>
        </w:rPr>
        <w:t>53</w:t>
      </w:r>
      <w:r w:rsidR="00FD6087" w:rsidRPr="002A445F">
        <w:rPr>
          <w:rFonts w:ascii="Sylfaen" w:eastAsia="Merriweather" w:hAnsi="Sylfaen" w:cs="Merriweather"/>
          <w:sz w:val="24"/>
          <w:szCs w:val="24"/>
        </w:rPr>
        <w:t>-ე პუნქტი.</w:t>
      </w:r>
      <w:r w:rsidR="00DE6A62" w:rsidRPr="002A445F">
        <w:rPr>
          <w:rFonts w:ascii="Sylfaen" w:eastAsia="Merriweather" w:hAnsi="Sylfaen" w:cs="Merriweather"/>
          <w:sz w:val="24"/>
          <w:szCs w:val="24"/>
        </w:rPr>
        <w:t>)</w:t>
      </w:r>
      <w:r w:rsidR="005E4467" w:rsidRPr="002A445F">
        <w:rPr>
          <w:rFonts w:ascii="Sylfaen" w:eastAsia="Merriweather" w:hAnsi="Sylfaen" w:cs="Merriweather"/>
          <w:sz w:val="24"/>
          <w:szCs w:val="24"/>
          <w:lang w:val="ka-GE"/>
        </w:rPr>
        <w:t xml:space="preserve"> თ</w:t>
      </w:r>
      <w:r w:rsidR="00811BA4" w:rsidRPr="002A445F">
        <w:rPr>
          <w:rFonts w:ascii="Sylfaen" w:eastAsia="Merriweather" w:hAnsi="Sylfaen" w:cs="Merriweather"/>
          <w:sz w:val="24"/>
          <w:szCs w:val="24"/>
          <w:lang w:val="ka-GE"/>
        </w:rPr>
        <w:t>უ</w:t>
      </w:r>
      <w:r w:rsidR="005E4467" w:rsidRPr="002A445F">
        <w:rPr>
          <w:rFonts w:ascii="Sylfaen" w:eastAsia="Merriweather" w:hAnsi="Sylfaen" w:cs="Merriweather"/>
          <w:sz w:val="24"/>
          <w:szCs w:val="24"/>
          <w:lang w:val="ka-GE"/>
        </w:rPr>
        <w:t xml:space="preserve">მცა, შემდეგ, </w:t>
      </w:r>
      <w:r w:rsidR="00457061" w:rsidRPr="002A445F">
        <w:rPr>
          <w:rFonts w:ascii="Sylfaen" w:eastAsia="Merriweather" w:hAnsi="Sylfaen" w:cs="Merriweather"/>
          <w:sz w:val="24"/>
          <w:szCs w:val="24"/>
          <w:lang w:val="ka-GE"/>
        </w:rPr>
        <w:t>ამ პოზიციიდან</w:t>
      </w:r>
      <w:r w:rsidR="00FD6087" w:rsidRPr="002A445F">
        <w:rPr>
          <w:rFonts w:ascii="Sylfaen" w:eastAsia="Merriweather" w:hAnsi="Sylfaen" w:cs="Merriweather"/>
          <w:sz w:val="24"/>
          <w:szCs w:val="24"/>
          <w:lang w:val="ka-GE"/>
        </w:rPr>
        <w:t>აც</w:t>
      </w:r>
      <w:r w:rsidR="00457061" w:rsidRPr="002A445F">
        <w:rPr>
          <w:rFonts w:ascii="Sylfaen" w:eastAsia="Merriweather" w:hAnsi="Sylfaen" w:cs="Merriweather"/>
          <w:sz w:val="24"/>
          <w:szCs w:val="24"/>
          <w:lang w:val="ka-GE"/>
        </w:rPr>
        <w:t xml:space="preserve"> რამდენადმე  </w:t>
      </w:r>
      <w:r w:rsidR="005E4467" w:rsidRPr="002A445F">
        <w:rPr>
          <w:rFonts w:ascii="Sylfaen" w:eastAsia="Merriweather" w:hAnsi="Sylfaen" w:cs="Merriweather"/>
          <w:sz w:val="24"/>
          <w:szCs w:val="24"/>
          <w:lang w:val="ka-GE"/>
        </w:rPr>
        <w:t xml:space="preserve">უკან დაიხია და </w:t>
      </w:r>
      <w:r w:rsidR="00FD6087" w:rsidRPr="002A445F">
        <w:rPr>
          <w:rFonts w:ascii="Sylfaen" w:eastAsia="Merriweather" w:hAnsi="Sylfaen" w:cs="Merriweather"/>
          <w:sz w:val="24"/>
          <w:szCs w:val="24"/>
          <w:lang w:val="ka-GE"/>
        </w:rPr>
        <w:t>მიუთითა</w:t>
      </w:r>
      <w:r w:rsidR="00811BA4" w:rsidRPr="002A445F">
        <w:rPr>
          <w:rFonts w:ascii="Sylfaen" w:eastAsia="Merriweather" w:hAnsi="Sylfaen" w:cs="Merriweather"/>
          <w:sz w:val="24"/>
          <w:szCs w:val="24"/>
          <w:lang w:val="ka-GE"/>
        </w:rPr>
        <w:t>:</w:t>
      </w:r>
      <w:r w:rsidR="00FD6087" w:rsidRPr="002A445F">
        <w:rPr>
          <w:rFonts w:ascii="Sylfaen" w:eastAsia="Merriweather" w:hAnsi="Sylfaen" w:cs="Merriweather"/>
          <w:sz w:val="24"/>
          <w:szCs w:val="24"/>
          <w:lang w:val="ka-GE"/>
        </w:rPr>
        <w:t xml:space="preserve"> </w:t>
      </w:r>
      <w:r w:rsidR="00811BA4" w:rsidRPr="002A445F">
        <w:rPr>
          <w:rFonts w:ascii="Sylfaen" w:eastAsia="Merriweather" w:hAnsi="Sylfaen" w:cs="Merriweather"/>
          <w:sz w:val="24"/>
          <w:szCs w:val="24"/>
          <w:lang w:val="ka-GE"/>
        </w:rPr>
        <w:t>„</w:t>
      </w:r>
      <w:r w:rsidR="00DE6A62" w:rsidRPr="002A445F">
        <w:rPr>
          <w:rFonts w:ascii="Sylfaen" w:eastAsia="Merriweather" w:hAnsi="Sylfaen" w:cs="Merriweather"/>
          <w:sz w:val="24"/>
          <w:szCs w:val="24"/>
          <w:lang w:val="ka-GE"/>
        </w:rPr>
        <w:t xml:space="preserve">საკონსტიტუციო სასამართლო </w:t>
      </w:r>
      <w:r w:rsidR="00811BA4" w:rsidRPr="002A445F">
        <w:rPr>
          <w:rFonts w:ascii="Sylfaen" w:eastAsia="Merriweather" w:hAnsi="Sylfaen" w:cs="Merriweather"/>
          <w:sz w:val="24"/>
          <w:szCs w:val="24"/>
          <w:lang w:val="ka-GE"/>
        </w:rPr>
        <w:t>მოკლებულია</w:t>
      </w:r>
      <w:r w:rsidR="00DE6A62" w:rsidRPr="002A445F">
        <w:rPr>
          <w:rFonts w:ascii="Sylfaen" w:eastAsia="Merriweather" w:hAnsi="Sylfaen" w:cs="Merriweather"/>
          <w:sz w:val="24"/>
          <w:szCs w:val="24"/>
          <w:lang w:val="ka-GE"/>
        </w:rPr>
        <w:t xml:space="preserve"> შესაძლებლობას</w:t>
      </w:r>
      <w:r w:rsidR="00811BA4" w:rsidRPr="002A445F">
        <w:rPr>
          <w:rFonts w:ascii="Sylfaen" w:eastAsia="Merriweather" w:hAnsi="Sylfaen" w:cs="Merriweather"/>
          <w:sz w:val="24"/>
          <w:szCs w:val="24"/>
          <w:lang w:val="ka-GE"/>
        </w:rPr>
        <w:t>,</w:t>
      </w:r>
      <w:r w:rsidR="00DE6A62" w:rsidRPr="002A445F">
        <w:rPr>
          <w:rFonts w:ascii="Sylfaen" w:eastAsia="Merriweather" w:hAnsi="Sylfaen" w:cs="Merriweather"/>
          <w:sz w:val="24"/>
          <w:szCs w:val="24"/>
          <w:lang w:val="ka-GE"/>
        </w:rPr>
        <w:t xml:space="preserve"> შეაფასოს</w:t>
      </w:r>
      <w:r w:rsidR="00A86A95" w:rsidRPr="002A445F">
        <w:rPr>
          <w:rFonts w:ascii="Sylfaen" w:eastAsia="Merriweather" w:hAnsi="Sylfaen" w:cs="Merriweather"/>
          <w:sz w:val="24"/>
          <w:szCs w:val="24"/>
          <w:lang w:val="ka-GE"/>
        </w:rPr>
        <w:t>,</w:t>
      </w:r>
      <w:r w:rsidR="00DE6A62" w:rsidRPr="002A445F">
        <w:rPr>
          <w:rFonts w:ascii="Sylfaen" w:eastAsia="Merriweather" w:hAnsi="Sylfaen" w:cs="Merriweather"/>
          <w:sz w:val="24"/>
          <w:szCs w:val="24"/>
          <w:lang w:val="ka-GE"/>
        </w:rPr>
        <w:t xml:space="preserve"> თაობათა ცვლის პროცესის ხელშეწყობას, სასამართლო სისტემის ეფექტურ ფუნქციონირებასა თუ მოსამართლის მიერ საქმიანობის ჯეროვნად განხორციელებას, საპენსიო ასაკად 65 წლის განსაზღვრა უკეთ უზრუნველყოფს, თუ, მაგალითად 67, ან 70</w:t>
      </w:r>
      <w:r w:rsidR="00E14AD2" w:rsidRPr="002A445F">
        <w:rPr>
          <w:rFonts w:ascii="Sylfaen" w:eastAsia="Merriweather" w:hAnsi="Sylfaen" w:cs="Merriweather"/>
          <w:sz w:val="24"/>
          <w:szCs w:val="24"/>
          <w:lang w:val="ka-GE"/>
        </w:rPr>
        <w:t>“</w:t>
      </w:r>
      <w:r w:rsidR="00DE6A62" w:rsidRPr="002A445F">
        <w:rPr>
          <w:rFonts w:ascii="Sylfaen" w:eastAsia="Merriweather" w:hAnsi="Sylfaen" w:cs="Merriweather"/>
          <w:sz w:val="24"/>
          <w:szCs w:val="24"/>
          <w:lang w:val="ka-GE"/>
        </w:rPr>
        <w:t>.</w:t>
      </w:r>
      <w:r w:rsidR="00FD6087" w:rsidRPr="002A445F">
        <w:rPr>
          <w:rFonts w:ascii="Sylfaen" w:eastAsia="Merriweather" w:hAnsi="Sylfaen" w:cs="Merriweather"/>
          <w:sz w:val="24"/>
          <w:szCs w:val="24"/>
          <w:lang w:val="ka-GE"/>
        </w:rPr>
        <w:t xml:space="preserve"> </w:t>
      </w:r>
      <w:r w:rsidR="00E27754" w:rsidRPr="002A445F">
        <w:rPr>
          <w:rFonts w:ascii="Sylfaen" w:eastAsia="Merriweather" w:hAnsi="Sylfaen" w:cs="Merriweather"/>
          <w:sz w:val="24"/>
          <w:szCs w:val="24"/>
          <w:lang w:val="ka-GE"/>
        </w:rPr>
        <w:t>(</w:t>
      </w:r>
      <w:r w:rsidR="00FD6087" w:rsidRPr="002A445F">
        <w:rPr>
          <w:rFonts w:ascii="Sylfaen" w:eastAsia="Merriweather" w:hAnsi="Sylfaen" w:cs="Merriweather"/>
          <w:sz w:val="24"/>
          <w:szCs w:val="24"/>
          <w:lang w:val="ka-GE"/>
        </w:rPr>
        <w:t xml:space="preserve">იხ. სამოტივაციო ნაწილის </w:t>
      </w:r>
      <w:r w:rsidR="00457061" w:rsidRPr="002A445F">
        <w:rPr>
          <w:rFonts w:ascii="Sylfaen" w:eastAsia="Merriweather" w:hAnsi="Sylfaen" w:cs="Merriweather"/>
          <w:sz w:val="24"/>
          <w:szCs w:val="24"/>
        </w:rPr>
        <w:t>53</w:t>
      </w:r>
      <w:r w:rsidR="00FD6087" w:rsidRPr="002A445F">
        <w:rPr>
          <w:rFonts w:ascii="Sylfaen" w:eastAsia="Merriweather" w:hAnsi="Sylfaen" w:cs="Merriweather"/>
          <w:sz w:val="24"/>
          <w:szCs w:val="24"/>
        </w:rPr>
        <w:t>-ე პუნქტი</w:t>
      </w:r>
      <w:r w:rsidR="00E27754" w:rsidRPr="002A445F">
        <w:rPr>
          <w:rFonts w:ascii="Sylfaen" w:eastAsia="Merriweather" w:hAnsi="Sylfaen" w:cs="Merriweather"/>
          <w:sz w:val="24"/>
          <w:szCs w:val="24"/>
          <w:lang w:val="ka-GE"/>
        </w:rPr>
        <w:t>)</w:t>
      </w:r>
      <w:r w:rsidR="00FD6087" w:rsidRPr="002A445F">
        <w:rPr>
          <w:rFonts w:ascii="Sylfaen" w:eastAsia="Merriweather" w:hAnsi="Sylfaen" w:cs="Merriweather"/>
          <w:sz w:val="24"/>
          <w:szCs w:val="24"/>
          <w:lang w:val="ka-GE"/>
        </w:rPr>
        <w:t>.</w:t>
      </w:r>
    </w:p>
    <w:p w14:paraId="0DF79D2E" w14:textId="77777777" w:rsidR="00FD6087" w:rsidRPr="007971BD" w:rsidRDefault="00811BA4"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2A445F">
        <w:rPr>
          <w:rFonts w:ascii="Sylfaen" w:eastAsia="Merriweather" w:hAnsi="Sylfaen" w:cs="Merriweather"/>
          <w:sz w:val="24"/>
          <w:szCs w:val="24"/>
          <w:lang w:val="ka-GE"/>
        </w:rPr>
        <w:t>თუ</w:t>
      </w:r>
      <w:r w:rsidR="00E27754" w:rsidRPr="002A445F">
        <w:rPr>
          <w:rFonts w:ascii="Sylfaen" w:eastAsia="Merriweather" w:hAnsi="Sylfaen" w:cs="Merriweather"/>
          <w:sz w:val="24"/>
          <w:szCs w:val="24"/>
          <w:lang w:val="ka-GE"/>
        </w:rPr>
        <w:t>კი</w:t>
      </w:r>
      <w:r w:rsidRPr="002A445F">
        <w:rPr>
          <w:rFonts w:ascii="Sylfaen" w:eastAsia="Merriweather" w:hAnsi="Sylfaen" w:cs="Merriweather"/>
          <w:sz w:val="24"/>
          <w:szCs w:val="24"/>
          <w:lang w:val="ka-GE"/>
        </w:rPr>
        <w:t xml:space="preserve"> </w:t>
      </w:r>
      <w:r w:rsidR="00647035" w:rsidRPr="002A445F">
        <w:rPr>
          <w:rFonts w:ascii="Sylfaen" w:eastAsia="Merriweather" w:hAnsi="Sylfaen" w:cs="Merriweather"/>
          <w:sz w:val="24"/>
          <w:szCs w:val="24"/>
          <w:lang w:val="ka-GE"/>
        </w:rPr>
        <w:t xml:space="preserve"> </w:t>
      </w:r>
      <w:r w:rsidRPr="002A445F">
        <w:rPr>
          <w:rFonts w:ascii="Sylfaen" w:eastAsia="Merriweather" w:hAnsi="Sylfaen" w:cs="Merriweather"/>
          <w:sz w:val="24"/>
          <w:szCs w:val="24"/>
          <w:lang w:val="ka-GE"/>
        </w:rPr>
        <w:t xml:space="preserve">ახალგაზრდა პროფესიონალებისთვის გზის გახსნის საქმეში  </w:t>
      </w:r>
      <w:r w:rsidR="00647035" w:rsidRPr="002A445F">
        <w:rPr>
          <w:rFonts w:ascii="Sylfaen" w:eastAsia="Merriweather" w:hAnsi="Sylfaen" w:cs="Merriweather"/>
          <w:sz w:val="24"/>
          <w:szCs w:val="24"/>
          <w:lang w:val="ka-GE"/>
        </w:rPr>
        <w:t>გამოსავალი</w:t>
      </w:r>
      <w:r w:rsidRPr="002A445F">
        <w:rPr>
          <w:rFonts w:ascii="Sylfaen" w:eastAsia="Merriweather" w:hAnsi="Sylfaen" w:cs="Merriweather"/>
          <w:sz w:val="24"/>
          <w:szCs w:val="24"/>
          <w:lang w:val="ka-GE"/>
        </w:rPr>
        <w:t xml:space="preserve"> მოსამართლის ფიქსირებული სავალდებულო საპენსიო ასაკის </w:t>
      </w:r>
      <w:r w:rsidR="00B72468" w:rsidRPr="002A445F">
        <w:rPr>
          <w:rFonts w:ascii="Sylfaen" w:eastAsia="Merriweather" w:hAnsi="Sylfaen" w:cs="Merriweather"/>
          <w:sz w:val="24"/>
          <w:szCs w:val="24"/>
          <w:lang w:val="ka-GE"/>
        </w:rPr>
        <w:t>დაწესება</w:t>
      </w:r>
      <w:r w:rsidR="00647035" w:rsidRPr="002A445F">
        <w:rPr>
          <w:rFonts w:ascii="Sylfaen" w:eastAsia="Merriweather" w:hAnsi="Sylfaen" w:cs="Merriweather"/>
          <w:sz w:val="24"/>
          <w:szCs w:val="24"/>
          <w:lang w:val="ka-GE"/>
        </w:rPr>
        <w:t>ა,</w:t>
      </w:r>
      <w:r w:rsidRPr="002A445F">
        <w:rPr>
          <w:rFonts w:ascii="Sylfaen" w:eastAsia="Merriweather" w:hAnsi="Sylfaen" w:cs="Merriweather"/>
          <w:sz w:val="24"/>
          <w:szCs w:val="24"/>
          <w:lang w:val="ka-GE"/>
        </w:rPr>
        <w:t xml:space="preserve"> </w:t>
      </w:r>
      <w:r w:rsidR="00647035" w:rsidRPr="002A445F">
        <w:rPr>
          <w:rFonts w:ascii="Sylfaen" w:eastAsia="Merriweather" w:hAnsi="Sylfaen" w:cs="Merriweather"/>
          <w:sz w:val="24"/>
          <w:szCs w:val="24"/>
          <w:lang w:val="ka-GE"/>
        </w:rPr>
        <w:t xml:space="preserve"> </w:t>
      </w:r>
      <w:r w:rsidRPr="002A445F">
        <w:rPr>
          <w:rFonts w:ascii="Sylfaen" w:eastAsia="Merriweather" w:hAnsi="Sylfaen" w:cs="Merriweather"/>
          <w:sz w:val="24"/>
          <w:szCs w:val="24"/>
          <w:lang w:val="ka-GE"/>
        </w:rPr>
        <w:t xml:space="preserve">გაუგებარია, რა </w:t>
      </w:r>
      <w:r w:rsidR="00647035" w:rsidRPr="002A445F">
        <w:rPr>
          <w:rFonts w:ascii="Sylfaen" w:eastAsia="Merriweather" w:hAnsi="Sylfaen" w:cs="Merriweather"/>
          <w:sz w:val="24"/>
          <w:szCs w:val="24"/>
          <w:lang w:val="ka-GE"/>
        </w:rPr>
        <w:t xml:space="preserve">მიმართებაშია </w:t>
      </w:r>
      <w:r w:rsidRPr="002A445F">
        <w:rPr>
          <w:rFonts w:ascii="Sylfaen" w:eastAsia="Merriweather" w:hAnsi="Sylfaen" w:cs="Merriweather"/>
          <w:sz w:val="24"/>
          <w:szCs w:val="24"/>
          <w:lang w:val="ka-GE"/>
        </w:rPr>
        <w:t xml:space="preserve">მასთან უშუალოდ 65 წლის </w:t>
      </w:r>
      <w:r w:rsidR="00647035" w:rsidRPr="002A445F">
        <w:rPr>
          <w:rFonts w:ascii="Sylfaen" w:eastAsia="Merriweather" w:hAnsi="Sylfaen" w:cs="Merriweather"/>
          <w:sz w:val="24"/>
          <w:szCs w:val="24"/>
          <w:lang w:val="ka-GE"/>
        </w:rPr>
        <w:t xml:space="preserve">ასაკი,  რადგან  ნებისმიერი სხვა  სხვა საპენსიო ასაკი - 65-ზე ნაკლებიც </w:t>
      </w:r>
      <w:r w:rsidR="00A86A95" w:rsidRPr="002A445F">
        <w:rPr>
          <w:rFonts w:ascii="Sylfaen" w:eastAsia="Merriweather" w:hAnsi="Sylfaen" w:cs="Merriweather"/>
          <w:sz w:val="24"/>
          <w:szCs w:val="24"/>
          <w:lang w:val="ka-GE"/>
        </w:rPr>
        <w:t>და</w:t>
      </w:r>
      <w:r w:rsidR="00647035" w:rsidRPr="002A445F">
        <w:rPr>
          <w:rFonts w:ascii="Sylfaen" w:eastAsia="Merriweather" w:hAnsi="Sylfaen" w:cs="Merriweather"/>
          <w:sz w:val="24"/>
          <w:szCs w:val="24"/>
          <w:lang w:val="ka-GE"/>
        </w:rPr>
        <w:t xml:space="preserve"> მასზე მეტიც - ასე</w:t>
      </w:r>
      <w:r w:rsidR="00B72468" w:rsidRPr="002A445F">
        <w:rPr>
          <w:rFonts w:ascii="Sylfaen" w:eastAsia="Merriweather" w:hAnsi="Sylfaen" w:cs="Merriweather"/>
          <w:sz w:val="24"/>
          <w:szCs w:val="24"/>
          <w:lang w:val="ka-GE"/>
        </w:rPr>
        <w:t>თი</w:t>
      </w:r>
      <w:r w:rsidR="00647035" w:rsidRPr="002A445F">
        <w:rPr>
          <w:rFonts w:ascii="Sylfaen" w:eastAsia="Merriweather" w:hAnsi="Sylfaen" w:cs="Merriweather"/>
          <w:sz w:val="24"/>
          <w:szCs w:val="24"/>
          <w:lang w:val="ka-GE"/>
        </w:rPr>
        <w:t xml:space="preserve">ვე </w:t>
      </w:r>
      <w:r w:rsidR="00B72468" w:rsidRPr="002A445F">
        <w:rPr>
          <w:rFonts w:ascii="Sylfaen" w:eastAsia="Merriweather" w:hAnsi="Sylfaen" w:cs="Merriweather"/>
          <w:sz w:val="24"/>
          <w:szCs w:val="24"/>
          <w:lang w:val="ka-GE"/>
        </w:rPr>
        <w:t xml:space="preserve">წარმატებით  </w:t>
      </w:r>
      <w:r w:rsidR="00647035" w:rsidRPr="002A445F">
        <w:rPr>
          <w:rFonts w:ascii="Sylfaen" w:eastAsia="Merriweather" w:hAnsi="Sylfaen" w:cs="Merriweather"/>
          <w:sz w:val="24"/>
          <w:szCs w:val="24"/>
          <w:lang w:val="ka-GE"/>
        </w:rPr>
        <w:t xml:space="preserve">იქნებოდა „ფიქსირებული სავალდებულო საპენსიო ასაკი“.  </w:t>
      </w:r>
      <w:r w:rsidR="00B72468" w:rsidRPr="002A445F">
        <w:rPr>
          <w:rFonts w:ascii="Sylfaen" w:eastAsia="Merriweather" w:hAnsi="Sylfaen" w:cs="Merriweather"/>
          <w:sz w:val="24"/>
          <w:szCs w:val="24"/>
          <w:lang w:val="ka-GE"/>
        </w:rPr>
        <w:t>მით უფრო, სასამართლომ თავადვე დაადასტურა, რომ</w:t>
      </w:r>
      <w:r w:rsidR="006759F5" w:rsidRPr="002A445F">
        <w:rPr>
          <w:rFonts w:ascii="Sylfaen" w:eastAsia="Merriweather" w:hAnsi="Sylfaen" w:cs="Merriweather"/>
          <w:sz w:val="24"/>
          <w:szCs w:val="24"/>
          <w:lang w:val="ka-GE"/>
        </w:rPr>
        <w:t xml:space="preserve"> </w:t>
      </w:r>
      <w:r w:rsidR="00B72468" w:rsidRPr="002A445F">
        <w:rPr>
          <w:rFonts w:ascii="Sylfaen" w:eastAsia="Merriweather" w:hAnsi="Sylfaen" w:cs="Merriweather"/>
          <w:sz w:val="24"/>
          <w:szCs w:val="24"/>
          <w:lang w:val="ka-GE"/>
        </w:rPr>
        <w:t>მოკლებული იყო შესაძლებლობას, შეეფასებინა, თაობათა ცვლის პროცესის ხელშეწყობას</w:t>
      </w:r>
      <w:r w:rsidR="00FD6087" w:rsidRPr="002A445F">
        <w:rPr>
          <w:rFonts w:ascii="Sylfaen" w:eastAsia="Merriweather" w:hAnsi="Sylfaen" w:cs="Merriweather"/>
          <w:sz w:val="24"/>
          <w:szCs w:val="24"/>
          <w:lang w:val="ka-GE"/>
        </w:rPr>
        <w:t xml:space="preserve"> </w:t>
      </w:r>
      <w:r w:rsidR="00B72468" w:rsidRPr="002A445F">
        <w:rPr>
          <w:rFonts w:ascii="Sylfaen" w:eastAsia="Merriweather" w:hAnsi="Sylfaen" w:cs="Merriweather"/>
          <w:sz w:val="24"/>
          <w:szCs w:val="24"/>
          <w:lang w:val="ka-GE"/>
        </w:rPr>
        <w:t>საპენსიო ასაკად 65 წლის განსაზღვრა უკეთ უზრუნველყოფს, თუ, მაგალითად 67, ან</w:t>
      </w:r>
      <w:r w:rsidR="006759F5" w:rsidRPr="002A445F">
        <w:rPr>
          <w:rFonts w:ascii="Sylfaen" w:eastAsia="Merriweather" w:hAnsi="Sylfaen" w:cs="Merriweather"/>
          <w:sz w:val="24"/>
          <w:szCs w:val="24"/>
          <w:lang w:val="ka-GE"/>
        </w:rPr>
        <w:t xml:space="preserve"> 70. ცხადია, თაობათა ცვლა </w:t>
      </w:r>
      <w:r w:rsidR="00FD6087" w:rsidRPr="002A445F">
        <w:rPr>
          <w:rFonts w:ascii="Sylfaen" w:eastAsia="Merriweather" w:hAnsi="Sylfaen" w:cs="Merriweather"/>
          <w:sz w:val="24"/>
          <w:szCs w:val="24"/>
          <w:lang w:val="ka-GE"/>
        </w:rPr>
        <w:t>პერიოდულად</w:t>
      </w:r>
      <w:r w:rsidR="006759F5" w:rsidRPr="002A445F">
        <w:rPr>
          <w:rFonts w:ascii="Sylfaen" w:eastAsia="Merriweather" w:hAnsi="Sylfaen" w:cs="Merriweather"/>
          <w:sz w:val="24"/>
          <w:szCs w:val="24"/>
          <w:lang w:val="ka-GE"/>
        </w:rPr>
        <w:t xml:space="preserve"> უნდა ხდებოდეს და სასამართლო</w:t>
      </w:r>
      <w:r w:rsidR="006759F5" w:rsidRPr="007971BD">
        <w:rPr>
          <w:rFonts w:ascii="Sylfaen" w:eastAsia="Merriweather" w:hAnsi="Sylfaen" w:cs="Merriweather"/>
          <w:sz w:val="24"/>
          <w:szCs w:val="24"/>
          <w:lang w:val="ka-GE"/>
        </w:rPr>
        <w:t xml:space="preserve"> კორპუსი </w:t>
      </w:r>
      <w:r w:rsidR="006759F5" w:rsidRPr="007971BD">
        <w:rPr>
          <w:rFonts w:ascii="Sylfaen" w:eastAsia="Merriweather" w:hAnsi="Sylfaen" w:cs="Merriweather"/>
          <w:sz w:val="24"/>
          <w:szCs w:val="24"/>
          <w:lang w:val="ka-GE"/>
        </w:rPr>
        <w:lastRenderedPageBreak/>
        <w:t>მუდმივად და თანდათანობით უნდა ახლდებოდეს, მაგრამ</w:t>
      </w:r>
      <w:r w:rsidR="00E27754" w:rsidRPr="007971BD">
        <w:rPr>
          <w:rFonts w:ascii="Sylfaen" w:eastAsia="Merriweather" w:hAnsi="Sylfaen" w:cs="Merriweather"/>
          <w:sz w:val="24"/>
          <w:szCs w:val="24"/>
          <w:lang w:val="ka-GE"/>
        </w:rPr>
        <w:t xml:space="preserve"> </w:t>
      </w:r>
      <w:r w:rsidR="006759F5" w:rsidRPr="007971BD">
        <w:rPr>
          <w:rFonts w:ascii="Sylfaen" w:eastAsia="Merriweather" w:hAnsi="Sylfaen" w:cs="Merriweather"/>
          <w:sz w:val="24"/>
          <w:szCs w:val="24"/>
          <w:lang w:val="ka-GE"/>
        </w:rPr>
        <w:t xml:space="preserve">ეს თავისთავად </w:t>
      </w:r>
      <w:r w:rsidR="00A86A95" w:rsidRPr="007971BD">
        <w:rPr>
          <w:rFonts w:ascii="Sylfaen" w:eastAsia="Merriweather" w:hAnsi="Sylfaen" w:cs="Merriweather"/>
          <w:sz w:val="24"/>
          <w:szCs w:val="24"/>
          <w:lang w:val="ka-GE"/>
        </w:rPr>
        <w:t xml:space="preserve"> ვერ </w:t>
      </w:r>
      <w:r w:rsidR="00E27754" w:rsidRPr="007971BD">
        <w:rPr>
          <w:rFonts w:ascii="Sylfaen" w:eastAsia="Merriweather" w:hAnsi="Sylfaen" w:cs="Merriweather"/>
          <w:sz w:val="24"/>
          <w:szCs w:val="24"/>
          <w:lang w:val="ka-GE"/>
        </w:rPr>
        <w:t>გახდება</w:t>
      </w:r>
      <w:r w:rsidR="006759F5" w:rsidRPr="007971BD">
        <w:rPr>
          <w:rFonts w:ascii="Sylfaen" w:eastAsia="Merriweather" w:hAnsi="Sylfaen" w:cs="Merriweather"/>
          <w:sz w:val="24"/>
          <w:szCs w:val="24"/>
          <w:lang w:val="ka-GE"/>
        </w:rPr>
        <w:t xml:space="preserve">  საპენსიო ასაკად 65 წლის განსაზღვრის </w:t>
      </w:r>
      <w:r w:rsidR="00E27754" w:rsidRPr="007971BD">
        <w:rPr>
          <w:rFonts w:ascii="Sylfaen" w:eastAsia="Merriweather" w:hAnsi="Sylfaen" w:cs="Merriweather"/>
          <w:sz w:val="24"/>
          <w:szCs w:val="24"/>
          <w:lang w:val="ka-GE"/>
        </w:rPr>
        <w:t>გონივრულობის მაჩვენებელი.</w:t>
      </w:r>
      <w:r w:rsidR="006759F5" w:rsidRPr="007971BD">
        <w:rPr>
          <w:rFonts w:ascii="Sylfaen" w:eastAsia="Merriweather" w:hAnsi="Sylfaen" w:cs="Merriweather"/>
          <w:sz w:val="24"/>
          <w:szCs w:val="24"/>
          <w:lang w:val="ka-GE"/>
        </w:rPr>
        <w:t xml:space="preserve"> </w:t>
      </w:r>
    </w:p>
    <w:p w14:paraId="01302563" w14:textId="35F2C29F" w:rsidR="00FD6087" w:rsidRPr="007971BD" w:rsidRDefault="006759F5"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eastAsia="Merriweather" w:hAnsi="Sylfaen" w:cs="Merriweather"/>
          <w:sz w:val="24"/>
          <w:szCs w:val="24"/>
          <w:lang w:val="ka-GE"/>
        </w:rPr>
        <w:t xml:space="preserve">ვფიქრობ, რომ ვინაიდან </w:t>
      </w:r>
      <w:r w:rsidR="00BA527A" w:rsidRPr="007971BD">
        <w:rPr>
          <w:rFonts w:ascii="Sylfaen" w:eastAsia="Merriweather" w:hAnsi="Sylfaen" w:cs="Merriweather"/>
          <w:sz w:val="24"/>
          <w:szCs w:val="24"/>
          <w:lang w:val="ka-GE"/>
        </w:rPr>
        <w:t xml:space="preserve">არ დადასტურდა 65 წლის ასაკს </w:t>
      </w:r>
      <w:r w:rsidR="008074F3" w:rsidRPr="007971BD">
        <w:rPr>
          <w:rFonts w:ascii="Sylfaen" w:eastAsia="Merriweather" w:hAnsi="Sylfaen" w:cs="Merriweather"/>
          <w:sz w:val="24"/>
          <w:szCs w:val="24"/>
          <w:lang w:val="ka-GE"/>
        </w:rPr>
        <w:t>მიღწეულ</w:t>
      </w:r>
      <w:r w:rsidR="00BA527A" w:rsidRPr="007971BD">
        <w:rPr>
          <w:rFonts w:ascii="Sylfaen" w:eastAsia="Merriweather" w:hAnsi="Sylfaen" w:cs="Merriweather"/>
          <w:sz w:val="24"/>
          <w:szCs w:val="24"/>
          <w:lang w:val="ka-GE"/>
        </w:rPr>
        <w:t xml:space="preserve"> მოსამართ</w:t>
      </w:r>
      <w:r w:rsidR="008074F3" w:rsidRPr="007971BD">
        <w:rPr>
          <w:rFonts w:ascii="Sylfaen" w:eastAsia="Merriweather" w:hAnsi="Sylfaen" w:cs="Merriweather"/>
          <w:sz w:val="24"/>
          <w:szCs w:val="24"/>
          <w:lang w:val="ka-GE"/>
        </w:rPr>
        <w:t>ლ</w:t>
      </w:r>
      <w:r w:rsidR="00BA527A" w:rsidRPr="007971BD">
        <w:rPr>
          <w:rFonts w:ascii="Sylfaen" w:eastAsia="Merriweather" w:hAnsi="Sylfaen" w:cs="Merriweather"/>
          <w:sz w:val="24"/>
          <w:szCs w:val="24"/>
          <w:lang w:val="ka-GE"/>
        </w:rPr>
        <w:t xml:space="preserve">ეთა </w:t>
      </w:r>
      <w:r w:rsidR="00483423" w:rsidRPr="007971BD">
        <w:rPr>
          <w:rFonts w:ascii="Sylfaen" w:eastAsia="Merriweather" w:hAnsi="Sylfaen" w:cs="Merriweather"/>
          <w:sz w:val="24"/>
          <w:szCs w:val="24"/>
          <w:lang w:val="ka-GE"/>
        </w:rPr>
        <w:t xml:space="preserve"> </w:t>
      </w:r>
      <w:r w:rsidR="00E27754" w:rsidRPr="007971BD">
        <w:rPr>
          <w:rFonts w:ascii="Sylfaen" w:eastAsia="Merriweather" w:hAnsi="Sylfaen" w:cs="Merriweather"/>
          <w:sz w:val="24"/>
          <w:szCs w:val="24"/>
          <w:lang w:val="ka-GE"/>
        </w:rPr>
        <w:t xml:space="preserve"> „უმრავლესობის“</w:t>
      </w:r>
      <w:r w:rsidR="00483423" w:rsidRPr="007971BD">
        <w:rPr>
          <w:rFonts w:ascii="Sylfaen" w:eastAsia="Merriweather" w:hAnsi="Sylfaen" w:cs="Merriweather"/>
          <w:sz w:val="24"/>
          <w:szCs w:val="24"/>
          <w:lang w:val="ka-GE"/>
        </w:rPr>
        <w:t xml:space="preserve"> (მით უმეტეს, „დიდი უმრავლესობის“)</w:t>
      </w:r>
      <w:r w:rsidR="00E27754" w:rsidRPr="007971BD">
        <w:rPr>
          <w:rFonts w:ascii="Sylfaen" w:eastAsia="Merriweather" w:hAnsi="Sylfaen" w:cs="Merriweather"/>
          <w:sz w:val="24"/>
          <w:szCs w:val="24"/>
          <w:lang w:val="ka-GE"/>
        </w:rPr>
        <w:t xml:space="preserve"> </w:t>
      </w:r>
      <w:r w:rsidR="00BA527A" w:rsidRPr="007971BD">
        <w:rPr>
          <w:rFonts w:ascii="Sylfaen" w:eastAsia="Merriweather" w:hAnsi="Sylfaen" w:cs="Merriweather"/>
          <w:sz w:val="24"/>
          <w:szCs w:val="24"/>
          <w:lang w:val="ka-GE"/>
        </w:rPr>
        <w:t>მხრიდან სამოსამართლო მოვალეობების შესრულების შეუძლებლობა,</w:t>
      </w:r>
      <w:r w:rsidR="00A86A95" w:rsidRPr="007971BD">
        <w:rPr>
          <w:rFonts w:ascii="Sylfaen" w:eastAsia="Merriweather" w:hAnsi="Sylfaen" w:cs="Merriweather"/>
          <w:sz w:val="24"/>
          <w:szCs w:val="24"/>
          <w:lang w:val="ka-GE"/>
        </w:rPr>
        <w:t xml:space="preserve"> მაშინ</w:t>
      </w:r>
      <w:r w:rsidR="00BA527A" w:rsidRPr="007971BD">
        <w:rPr>
          <w:rFonts w:ascii="Sylfaen" w:eastAsia="Merriweather" w:hAnsi="Sylfaen" w:cs="Merriweather"/>
          <w:sz w:val="24"/>
          <w:szCs w:val="24"/>
          <w:lang w:val="ka-GE"/>
        </w:rPr>
        <w:t xml:space="preserve"> </w:t>
      </w:r>
      <w:r w:rsidR="00483423" w:rsidRPr="007971BD">
        <w:rPr>
          <w:rFonts w:ascii="Sylfaen" w:eastAsia="Merriweather" w:hAnsi="Sylfaen" w:cs="Merriweather"/>
          <w:sz w:val="24"/>
          <w:szCs w:val="24"/>
          <w:lang w:val="ka-GE"/>
        </w:rPr>
        <w:t>სასამართლოს უნდა ეჩვენებინა, რომ ეს სტანდარტი მოსამართლეებთან მიმართებაში შესაბამისი და ადეკვატური არ არის და ჯეროვნად დაესაბუთებინა უფრო დაბალი სტანდარტის გონივრულობა და რაციონალურობა, ნაცვლად იმისა, რომ წინააღმდეგობრივი მსჯელობები წარმოედგინა.</w:t>
      </w:r>
    </w:p>
    <w:p w14:paraId="6D331E9E" w14:textId="47A028C4" w:rsidR="00FD6087" w:rsidRPr="007971BD" w:rsidRDefault="00FD6087" w:rsidP="007847FD">
      <w:pPr>
        <w:pStyle w:val="Heading2"/>
        <w:numPr>
          <w:ilvl w:val="0"/>
          <w:numId w:val="7"/>
        </w:numPr>
        <w:spacing w:before="100" w:beforeAutospacing="1" w:after="100" w:afterAutospacing="1"/>
        <w:ind w:left="0" w:firstLine="284"/>
        <w:jc w:val="both"/>
        <w:rPr>
          <w:rFonts w:ascii="Sylfaen" w:eastAsia="Merriweather" w:hAnsi="Sylfaen"/>
          <w:b/>
          <w:bCs/>
          <w:color w:val="auto"/>
          <w:sz w:val="24"/>
          <w:szCs w:val="24"/>
          <w:lang w:val="ka-GE"/>
        </w:rPr>
      </w:pPr>
      <w:r w:rsidRPr="007971BD">
        <w:rPr>
          <w:rFonts w:ascii="Sylfaen" w:eastAsia="Merriweather" w:hAnsi="Sylfaen"/>
          <w:b/>
          <w:bCs/>
          <w:color w:val="auto"/>
          <w:sz w:val="24"/>
          <w:szCs w:val="24"/>
          <w:lang w:val="ka-GE"/>
        </w:rPr>
        <w:t xml:space="preserve"> 65 წლის ასაკობრივი ბარიერი, როგორც ყველაზე ნაკლებად შემზღუდველი ღონისძიება? </w:t>
      </w:r>
      <w:r w:rsidR="00483423" w:rsidRPr="007971BD">
        <w:rPr>
          <w:rFonts w:ascii="Sylfaen" w:eastAsia="Merriweather" w:hAnsi="Sylfaen" w:cs="Merriweather"/>
          <w:sz w:val="24"/>
          <w:szCs w:val="24"/>
          <w:lang w:val="ka-GE"/>
        </w:rPr>
        <w:t xml:space="preserve">   </w:t>
      </w:r>
      <w:r w:rsidR="006759F5" w:rsidRPr="007971BD">
        <w:rPr>
          <w:rFonts w:ascii="Sylfaen" w:eastAsia="Merriweather" w:hAnsi="Sylfaen" w:cs="Merriweather"/>
          <w:sz w:val="24"/>
          <w:szCs w:val="24"/>
          <w:lang w:val="ka-GE"/>
        </w:rPr>
        <w:t xml:space="preserve">  </w:t>
      </w:r>
    </w:p>
    <w:p w14:paraId="0F383867" w14:textId="77777777" w:rsidR="0024640D" w:rsidRPr="007971BD" w:rsidRDefault="00BC1761"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eastAsia="Merriweather" w:hAnsi="Sylfaen" w:cs="Merriweather"/>
          <w:sz w:val="24"/>
          <w:szCs w:val="24"/>
          <w:lang w:val="ka-GE"/>
        </w:rPr>
        <w:t>დამკვიდრებული საერთო მიდგომების მიხედვით, რა</w:t>
      </w:r>
      <w:r w:rsidR="0024640D" w:rsidRPr="007971BD">
        <w:rPr>
          <w:rFonts w:ascii="Sylfaen" w:eastAsia="Merriweather" w:hAnsi="Sylfaen" w:cs="Merriweather"/>
          <w:sz w:val="24"/>
          <w:szCs w:val="24"/>
          <w:lang w:val="ka-GE"/>
        </w:rPr>
        <w:t>ზედაც</w:t>
      </w:r>
      <w:r w:rsidRPr="007971BD">
        <w:rPr>
          <w:rFonts w:ascii="Sylfaen" w:eastAsia="Merriweather" w:hAnsi="Sylfaen" w:cs="Merriweather"/>
          <w:sz w:val="24"/>
          <w:szCs w:val="24"/>
          <w:lang w:val="ka-GE"/>
        </w:rPr>
        <w:t xml:space="preserve"> სასამართლომ წინამდებარე გადაწყვეტილებაშიც მიუთითა, შეზღუდვის პროპორციულად მისაჩნევად, </w:t>
      </w:r>
      <w:r w:rsidR="00805882" w:rsidRPr="007971BD">
        <w:rPr>
          <w:rFonts w:ascii="Sylfaen" w:eastAsia="Merriweather" w:hAnsi="Sylfaen" w:cs="Merriweather"/>
          <w:sz w:val="24"/>
          <w:szCs w:val="24"/>
          <w:lang w:val="ka-GE"/>
        </w:rPr>
        <w:t xml:space="preserve">საჭიროა, არ არსებობდეს ნაკლებად შემზღუდველი საშუალებით  ლეგიტიმური მიზნის იმავე ეფექტიანობით მიღწევის გონივრული შესაძლებლობა.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 </w:t>
      </w:r>
      <w:r w:rsidR="00805882" w:rsidRPr="007971BD">
        <w:rPr>
          <w:rFonts w:ascii="Sylfaen" w:eastAsia="Merriweather" w:hAnsi="Sylfaen" w:cs="Merriweather"/>
          <w:sz w:val="24"/>
          <w:szCs w:val="24"/>
        </w:rPr>
        <w:t>(</w:t>
      </w:r>
      <w:r w:rsidR="0024640D" w:rsidRPr="007971BD">
        <w:rPr>
          <w:rFonts w:ascii="Sylfaen" w:eastAsia="Merriweather" w:hAnsi="Sylfaen" w:cs="Merriweather"/>
          <w:sz w:val="24"/>
          <w:szCs w:val="24"/>
        </w:rPr>
        <w:t xml:space="preserve">იხ. სამოტივაციო ნაწილის </w:t>
      </w:r>
      <w:r w:rsidR="00805882" w:rsidRPr="007971BD">
        <w:rPr>
          <w:rFonts w:ascii="Sylfaen" w:eastAsia="Merriweather" w:hAnsi="Sylfaen" w:cs="Merriweather"/>
          <w:sz w:val="24"/>
          <w:szCs w:val="24"/>
        </w:rPr>
        <w:t>37</w:t>
      </w:r>
      <w:r w:rsidR="0024640D" w:rsidRPr="007971BD">
        <w:rPr>
          <w:rFonts w:ascii="Sylfaen" w:eastAsia="Merriweather" w:hAnsi="Sylfaen" w:cs="Merriweather"/>
          <w:sz w:val="24"/>
          <w:szCs w:val="24"/>
        </w:rPr>
        <w:t>-ე პუნქტი</w:t>
      </w:r>
      <w:r w:rsidR="00805882" w:rsidRPr="007971BD">
        <w:rPr>
          <w:rFonts w:ascii="Sylfaen" w:eastAsia="Merriweather" w:hAnsi="Sylfaen" w:cs="Merriweather"/>
          <w:sz w:val="24"/>
          <w:szCs w:val="24"/>
        </w:rPr>
        <w:t>)</w:t>
      </w:r>
      <w:r w:rsidR="0024640D" w:rsidRPr="007971BD">
        <w:rPr>
          <w:rFonts w:ascii="Sylfaen" w:eastAsia="Merriweather" w:hAnsi="Sylfaen" w:cs="Merriweather"/>
          <w:sz w:val="24"/>
          <w:szCs w:val="24"/>
        </w:rPr>
        <w:t>.</w:t>
      </w:r>
      <w:r w:rsidR="00A86A95" w:rsidRPr="007971BD">
        <w:rPr>
          <w:rFonts w:ascii="Sylfaen" w:eastAsia="Merriweather" w:hAnsi="Sylfaen" w:cs="Merriweather"/>
          <w:sz w:val="24"/>
          <w:szCs w:val="24"/>
          <w:lang w:val="ka-GE"/>
        </w:rPr>
        <w:t xml:space="preserve"> </w:t>
      </w:r>
    </w:p>
    <w:p w14:paraId="1B5FF0FD" w14:textId="2AA47183" w:rsidR="00BC41FE" w:rsidRPr="007971BD" w:rsidRDefault="00812A3C" w:rsidP="007847FD">
      <w:pPr>
        <w:pStyle w:val="ListParagraph"/>
        <w:numPr>
          <w:ilvl w:val="0"/>
          <w:numId w:val="5"/>
        </w:numPr>
        <w:spacing w:before="100" w:beforeAutospacing="1" w:after="100" w:afterAutospacing="1"/>
        <w:ind w:left="0" w:firstLine="284"/>
        <w:jc w:val="both"/>
        <w:rPr>
          <w:rFonts w:ascii="Sylfaen" w:hAnsi="Sylfaen"/>
          <w:sz w:val="24"/>
          <w:szCs w:val="24"/>
          <w:lang w:val="ka-GE"/>
        </w:rPr>
      </w:pPr>
      <w:r w:rsidRPr="007971BD">
        <w:rPr>
          <w:rFonts w:ascii="Sylfaen" w:eastAsia="Merriweather" w:hAnsi="Sylfaen" w:cs="Merriweather"/>
          <w:sz w:val="24"/>
          <w:szCs w:val="24"/>
          <w:lang w:val="ka-GE"/>
        </w:rPr>
        <w:t xml:space="preserve">65 წლის სავალდებულო საპენსიო ასაკთან მიმართებაში </w:t>
      </w:r>
      <w:r w:rsidR="00BC41FE" w:rsidRPr="007971BD">
        <w:rPr>
          <w:rFonts w:ascii="Sylfaen" w:eastAsia="Merriweather" w:hAnsi="Sylfaen" w:cs="Merriweather"/>
          <w:sz w:val="24"/>
          <w:szCs w:val="24"/>
          <w:lang w:val="ka-GE"/>
        </w:rPr>
        <w:t>სასამართლომ გადაწყვეტილებაში მიუთითა, რომ გამოკვეთილი არ იყო  „რაიმე უფრო მსუბუქი საშუალება, რომელიც ამ ლეგიტიმურ მიზნებს იგივე ეფექტურობით მიაღწევდა</w:t>
      </w:r>
      <w:r w:rsidR="00313CD3" w:rsidRPr="007971BD">
        <w:rPr>
          <w:rFonts w:ascii="Sylfaen" w:eastAsia="Merriweather" w:hAnsi="Sylfaen" w:cs="Merriweather"/>
          <w:sz w:val="24"/>
          <w:szCs w:val="24"/>
          <w:lang w:val="ka-GE"/>
        </w:rPr>
        <w:t>“ (</w:t>
      </w:r>
      <w:r w:rsidR="0024640D" w:rsidRPr="007971BD">
        <w:rPr>
          <w:rFonts w:ascii="Sylfaen" w:eastAsia="Merriweather" w:hAnsi="Sylfaen" w:cs="Merriweather"/>
          <w:sz w:val="24"/>
          <w:szCs w:val="24"/>
          <w:lang w:val="ka-GE"/>
        </w:rPr>
        <w:t xml:space="preserve">იხ. სამოტივაციო ნაწილის </w:t>
      </w:r>
      <w:r w:rsidR="00313CD3" w:rsidRPr="007971BD">
        <w:rPr>
          <w:rFonts w:ascii="Sylfaen" w:eastAsia="Merriweather" w:hAnsi="Sylfaen" w:cs="Merriweather"/>
          <w:sz w:val="24"/>
          <w:szCs w:val="24"/>
          <w:lang w:val="ka-GE"/>
        </w:rPr>
        <w:t>48</w:t>
      </w:r>
      <w:r w:rsidR="0024640D" w:rsidRPr="007971BD">
        <w:rPr>
          <w:rFonts w:ascii="Sylfaen" w:eastAsia="Merriweather" w:hAnsi="Sylfaen" w:cs="Merriweather"/>
          <w:sz w:val="24"/>
          <w:szCs w:val="24"/>
          <w:lang w:val="ka-GE"/>
        </w:rPr>
        <w:t>-ე პუნქტი</w:t>
      </w:r>
      <w:r w:rsidR="00BC41FE" w:rsidRPr="007971BD">
        <w:rPr>
          <w:rFonts w:ascii="Sylfaen" w:eastAsia="Merriweather" w:hAnsi="Sylfaen" w:cs="Merriweather"/>
          <w:sz w:val="24"/>
          <w:szCs w:val="24"/>
          <w:lang w:val="ka-GE"/>
        </w:rPr>
        <w:t xml:space="preserve">). შესაბამისად, მან  65 წლის ასაკობრივი ბარიერი  ყველაზე ნაკლებად </w:t>
      </w:r>
      <w:r w:rsidR="00A86A95" w:rsidRPr="007971BD">
        <w:rPr>
          <w:rFonts w:ascii="Sylfaen" w:eastAsia="Merriweather" w:hAnsi="Sylfaen" w:cs="Merriweather"/>
          <w:sz w:val="24"/>
          <w:szCs w:val="24"/>
          <w:lang w:val="ka-GE"/>
        </w:rPr>
        <w:t>შემზღუდველ</w:t>
      </w:r>
      <w:r w:rsidR="00BC41FE" w:rsidRPr="007971BD">
        <w:rPr>
          <w:rFonts w:ascii="Sylfaen" w:eastAsia="Merriweather" w:hAnsi="Sylfaen" w:cs="Merriweather"/>
          <w:sz w:val="24"/>
          <w:szCs w:val="24"/>
          <w:lang w:val="ka-GE"/>
        </w:rPr>
        <w:t xml:space="preserve"> ღონისძიებად მიიჩნია მართლმსაჯულების ეფექტიანობისა და სტაბილურობის, სასამართლო სისტემაში თაობათა ცვლის ლეგიტიმური მიზნების მისაღწევად.</w:t>
      </w:r>
      <w:r w:rsidRPr="007971BD">
        <w:rPr>
          <w:rFonts w:ascii="Sylfaen" w:eastAsia="Merriweather" w:hAnsi="Sylfaen" w:cs="Merriweather"/>
          <w:sz w:val="24"/>
          <w:szCs w:val="24"/>
          <w:lang w:val="ka-GE"/>
        </w:rPr>
        <w:t xml:space="preserve"> </w:t>
      </w:r>
    </w:p>
    <w:p w14:paraId="4AACDE52" w14:textId="77777777" w:rsidR="003A7925" w:rsidRPr="00BF799D" w:rsidRDefault="003A7925" w:rsidP="007847FD">
      <w:pPr>
        <w:pBdr>
          <w:top w:val="nil"/>
          <w:left w:val="nil"/>
          <w:bottom w:val="nil"/>
          <w:right w:val="nil"/>
          <w:between w:val="nil"/>
        </w:pBdr>
        <w:spacing w:after="0" w:line="276" w:lineRule="auto"/>
        <w:ind w:firstLine="284"/>
        <w:jc w:val="both"/>
        <w:rPr>
          <w:rFonts w:ascii="Sylfaen" w:eastAsia="Merriweather" w:hAnsi="Sylfaen" w:cs="Merriweather"/>
          <w:bCs/>
          <w:sz w:val="24"/>
          <w:szCs w:val="24"/>
          <w:lang w:val="ka-GE"/>
        </w:rPr>
      </w:pPr>
      <w:r w:rsidRPr="00BF799D">
        <w:rPr>
          <w:rFonts w:ascii="Sylfaen" w:eastAsia="Merriweather" w:hAnsi="Sylfaen" w:cs="Merriweather"/>
          <w:bCs/>
          <w:sz w:val="24"/>
          <w:szCs w:val="24"/>
          <w:lang w:val="ka-GE"/>
        </w:rPr>
        <w:t xml:space="preserve">ამგვარ </w:t>
      </w:r>
      <w:r w:rsidR="00812A3C" w:rsidRPr="00BF799D">
        <w:rPr>
          <w:rFonts w:ascii="Sylfaen" w:eastAsia="Merriweather" w:hAnsi="Sylfaen" w:cs="Merriweather"/>
          <w:bCs/>
          <w:sz w:val="24"/>
          <w:szCs w:val="24"/>
          <w:lang w:val="ka-GE"/>
        </w:rPr>
        <w:t>შეფასებას</w:t>
      </w:r>
      <w:r w:rsidRPr="00BF799D">
        <w:rPr>
          <w:rFonts w:ascii="Sylfaen" w:eastAsia="Merriweather" w:hAnsi="Sylfaen" w:cs="Merriweather"/>
          <w:bCs/>
          <w:sz w:val="24"/>
          <w:szCs w:val="24"/>
          <w:lang w:val="ka-GE"/>
        </w:rPr>
        <w:t xml:space="preserve"> ვერ დავეთანხმები.</w:t>
      </w:r>
    </w:p>
    <w:p w14:paraId="64D9C368" w14:textId="77777777" w:rsidR="003A7925" w:rsidRPr="007971BD" w:rsidRDefault="003A7925"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p>
    <w:p w14:paraId="6C7569A6" w14:textId="23A2C3B0" w:rsidR="007025B6" w:rsidRPr="007971BD" w:rsidRDefault="003A7925"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r w:rsidRPr="007971BD">
        <w:rPr>
          <w:rFonts w:ascii="Sylfaen" w:eastAsia="Merriweather" w:hAnsi="Sylfaen" w:cs="Merriweather"/>
          <w:sz w:val="24"/>
          <w:szCs w:val="24"/>
          <w:lang w:val="ka-GE"/>
        </w:rPr>
        <w:t xml:space="preserve">ჯერ ერთი, </w:t>
      </w:r>
      <w:r w:rsidR="00812A3C" w:rsidRPr="007971BD">
        <w:rPr>
          <w:rFonts w:ascii="Sylfaen" w:eastAsia="Merriweather" w:hAnsi="Sylfaen" w:cs="Merriweather"/>
          <w:sz w:val="24"/>
          <w:szCs w:val="24"/>
          <w:lang w:val="ka-GE"/>
        </w:rPr>
        <w:t>65 წლის ზემოთ ნებისმიერ სხვა  ასაკთან  (66, 67, 68.. წელი</w:t>
      </w:r>
      <w:r w:rsidRPr="007971BD">
        <w:rPr>
          <w:rFonts w:ascii="Sylfaen" w:eastAsia="Merriweather" w:hAnsi="Sylfaen" w:cs="Merriweather"/>
          <w:sz w:val="24"/>
          <w:szCs w:val="24"/>
          <w:lang w:val="ka-GE"/>
        </w:rPr>
        <w:t xml:space="preserve">) </w:t>
      </w:r>
      <w:r w:rsidR="00812A3C" w:rsidRPr="007971BD">
        <w:rPr>
          <w:rFonts w:ascii="Sylfaen" w:eastAsia="Merriweather" w:hAnsi="Sylfaen" w:cs="Merriweather"/>
          <w:sz w:val="24"/>
          <w:szCs w:val="24"/>
          <w:lang w:val="ka-GE"/>
        </w:rPr>
        <w:t xml:space="preserve">  </w:t>
      </w:r>
      <w:r w:rsidRPr="007971BD">
        <w:rPr>
          <w:rFonts w:ascii="Sylfaen" w:eastAsia="Merriweather" w:hAnsi="Sylfaen" w:cs="Merriweather"/>
          <w:sz w:val="24"/>
          <w:szCs w:val="24"/>
          <w:lang w:val="ka-GE"/>
        </w:rPr>
        <w:t xml:space="preserve">უფლებამოსილების შეწყვეტის დაკავშირების ყველა შემთხვევა იქნებოდა, სადავო ღონისძიებასთან შედარებით ნაკლებად შემზღუდველი.   </w:t>
      </w:r>
      <w:r w:rsidR="00725FDD" w:rsidRPr="007971BD">
        <w:rPr>
          <w:rFonts w:ascii="Sylfaen" w:eastAsia="Merriweather" w:hAnsi="Sylfaen" w:cs="Merriweather"/>
          <w:sz w:val="24"/>
          <w:szCs w:val="24"/>
          <w:lang w:val="ka-GE"/>
        </w:rPr>
        <w:t>გარდა ამისა, არსებობს ჯანმრთელობის მდგომარეობის გამო უფლებამოსილების შეწყვეტის შესაძლებლობა</w:t>
      </w:r>
      <w:r w:rsidR="00BF799D">
        <w:rPr>
          <w:rFonts w:ascii="Sylfaen" w:eastAsia="Merriweather" w:hAnsi="Sylfaen" w:cs="Merriweather"/>
          <w:sz w:val="24"/>
          <w:szCs w:val="24"/>
          <w:lang w:val="ka-GE"/>
        </w:rPr>
        <w:t>:</w:t>
      </w:r>
      <w:r w:rsidR="00725FDD" w:rsidRPr="007971BD">
        <w:rPr>
          <w:rFonts w:ascii="Sylfaen" w:eastAsia="Merriweather" w:hAnsi="Sylfaen" w:cs="Merriweather"/>
          <w:sz w:val="24"/>
          <w:szCs w:val="24"/>
          <w:lang w:val="ka-GE"/>
        </w:rPr>
        <w:t xml:space="preserve"> როდესაც მოსამართლე </w:t>
      </w:r>
      <w:r w:rsidR="0024640D" w:rsidRPr="007971BD">
        <w:rPr>
          <w:rFonts w:ascii="Sylfaen" w:eastAsia="Merriweather" w:hAnsi="Sylfaen" w:cs="Merriweather"/>
          <w:sz w:val="24"/>
          <w:szCs w:val="24"/>
          <w:lang w:val="ka-GE"/>
        </w:rPr>
        <w:t xml:space="preserve">ბოლო 12 თვის განმავლობაში 4 თვეზე მეტ ხანს ვერ ახორციელებდა თავის უფლებამოსილებას და არსებობს შესაბამისი სამედიცინო დასკვნა, რომლის თანახმადაც, იგი მომავალშიც ვერ შეძლებს მოსამართლის უფლებამოსილების განხორციელებას. ამ პირობის არსებობისას, </w:t>
      </w:r>
      <w:r w:rsidR="007025B6" w:rsidRPr="007971BD">
        <w:rPr>
          <w:rFonts w:ascii="Sylfaen" w:eastAsia="Merriweather" w:hAnsi="Sylfaen" w:cs="Merriweather"/>
          <w:sz w:val="24"/>
          <w:szCs w:val="24"/>
          <w:lang w:val="ka-GE"/>
        </w:rPr>
        <w:t xml:space="preserve">იუსტიციის უმაღლესი საბჭოს გადაწყვეტილებით, </w:t>
      </w:r>
      <w:r w:rsidR="0024640D" w:rsidRPr="007971BD">
        <w:rPr>
          <w:rFonts w:ascii="Sylfaen" w:eastAsia="Merriweather" w:hAnsi="Sylfaen" w:cs="Merriweather"/>
          <w:sz w:val="24"/>
          <w:szCs w:val="24"/>
          <w:lang w:val="ka-GE"/>
        </w:rPr>
        <w:t xml:space="preserve">შესაძლებელია, რომ </w:t>
      </w:r>
      <w:r w:rsidR="00725FDD" w:rsidRPr="007971BD">
        <w:rPr>
          <w:rFonts w:ascii="Sylfaen" w:eastAsia="Merriweather" w:hAnsi="Sylfaen" w:cs="Merriweather"/>
          <w:sz w:val="24"/>
          <w:szCs w:val="24"/>
          <w:lang w:val="ka-GE"/>
        </w:rPr>
        <w:t xml:space="preserve">მას კანონის </w:t>
      </w:r>
      <w:r w:rsidR="00725FDD" w:rsidRPr="007971BD">
        <w:rPr>
          <w:rFonts w:ascii="Sylfaen" w:eastAsia="Merriweather" w:hAnsi="Sylfaen" w:cs="Merriweather"/>
          <w:sz w:val="24"/>
          <w:szCs w:val="24"/>
          <w:lang w:val="ka-GE"/>
        </w:rPr>
        <w:lastRenderedPageBreak/>
        <w:t>თან</w:t>
      </w:r>
      <w:r w:rsidR="00CA7226">
        <w:rPr>
          <w:rFonts w:ascii="Sylfaen" w:eastAsia="Merriweather" w:hAnsi="Sylfaen" w:cs="Merriweather"/>
          <w:sz w:val="24"/>
          <w:szCs w:val="24"/>
          <w:lang w:val="ka-GE"/>
        </w:rPr>
        <w:t>ა</w:t>
      </w:r>
      <w:r w:rsidR="00725FDD" w:rsidRPr="007971BD">
        <w:rPr>
          <w:rFonts w:ascii="Sylfaen" w:eastAsia="Merriweather" w:hAnsi="Sylfaen" w:cs="Merriweather"/>
          <w:sz w:val="24"/>
          <w:szCs w:val="24"/>
          <w:lang w:val="ka-GE"/>
        </w:rPr>
        <w:t>ხმად, შ</w:t>
      </w:r>
      <w:r w:rsidR="00CA7226">
        <w:rPr>
          <w:rFonts w:ascii="Sylfaen" w:eastAsia="Merriweather" w:hAnsi="Sylfaen" w:cs="Merriweather"/>
          <w:sz w:val="24"/>
          <w:szCs w:val="24"/>
          <w:lang w:val="ka-GE"/>
        </w:rPr>
        <w:t>ე</w:t>
      </w:r>
      <w:r w:rsidR="00725FDD" w:rsidRPr="007971BD">
        <w:rPr>
          <w:rFonts w:ascii="Sylfaen" w:eastAsia="Merriweather" w:hAnsi="Sylfaen" w:cs="Merriweather"/>
          <w:sz w:val="24"/>
          <w:szCs w:val="24"/>
          <w:lang w:val="ka-GE"/>
        </w:rPr>
        <w:t>უწყდე</w:t>
      </w:r>
      <w:r w:rsidR="00E1216E">
        <w:rPr>
          <w:rFonts w:ascii="Sylfaen" w:eastAsia="Merriweather" w:hAnsi="Sylfaen" w:cs="Merriweather"/>
          <w:sz w:val="24"/>
          <w:szCs w:val="24"/>
          <w:lang w:val="ka-GE"/>
        </w:rPr>
        <w:t>ს</w:t>
      </w:r>
      <w:r w:rsidR="00725FDD" w:rsidRPr="007971BD">
        <w:rPr>
          <w:rFonts w:ascii="Sylfaen" w:eastAsia="Merriweather" w:hAnsi="Sylfaen" w:cs="Merriweather"/>
          <w:sz w:val="24"/>
          <w:szCs w:val="24"/>
          <w:lang w:val="ka-GE"/>
        </w:rPr>
        <w:t xml:space="preserve"> უფლებამოსილება. ამიტომ</w:t>
      </w:r>
      <w:r w:rsidR="002B0659" w:rsidRPr="007971BD">
        <w:rPr>
          <w:rFonts w:ascii="Sylfaen" w:eastAsia="Merriweather" w:hAnsi="Sylfaen" w:cs="Merriweather"/>
          <w:sz w:val="24"/>
          <w:szCs w:val="24"/>
          <w:lang w:val="ka-GE"/>
        </w:rPr>
        <w:t>,</w:t>
      </w:r>
      <w:r w:rsidR="00725FDD" w:rsidRPr="007971BD">
        <w:rPr>
          <w:rFonts w:ascii="Sylfaen" w:eastAsia="Merriweather" w:hAnsi="Sylfaen" w:cs="Merriweather"/>
          <w:sz w:val="24"/>
          <w:szCs w:val="24"/>
          <w:lang w:val="ka-GE"/>
        </w:rPr>
        <w:t xml:space="preserve"> </w:t>
      </w:r>
      <w:r w:rsidR="002B0659" w:rsidRPr="007971BD">
        <w:rPr>
          <w:rFonts w:ascii="Sylfaen" w:eastAsia="Merriweather" w:hAnsi="Sylfaen" w:cs="Merriweather"/>
          <w:sz w:val="24"/>
          <w:szCs w:val="24"/>
          <w:lang w:val="ka-GE"/>
        </w:rPr>
        <w:t>ცხადია, საპენსიო ასაკის ერთი ან მეტი წლით გადაწევა, ჯანმრთელობის მდგომარეობის გამო უფლებამოსილების შეწყვეტის  შესაძლებლობასთან ერ</w:t>
      </w:r>
      <w:r w:rsidR="00CA7226">
        <w:rPr>
          <w:rFonts w:ascii="Sylfaen" w:eastAsia="Merriweather" w:hAnsi="Sylfaen" w:cs="Merriweather"/>
          <w:sz w:val="24"/>
          <w:szCs w:val="24"/>
          <w:lang w:val="ka-GE"/>
        </w:rPr>
        <w:t>თ</w:t>
      </w:r>
      <w:r w:rsidR="002B0659" w:rsidRPr="007971BD">
        <w:rPr>
          <w:rFonts w:ascii="Sylfaen" w:eastAsia="Merriweather" w:hAnsi="Sylfaen" w:cs="Merriweather"/>
          <w:sz w:val="24"/>
          <w:szCs w:val="24"/>
          <w:lang w:val="ka-GE"/>
        </w:rPr>
        <w:t>ობლიობაში, ნამდვილად წარმოადგენს სადავო შეზღუდვაზე ნაკლებად მზღუდავ და, იმავდროულად, ეფექტიან საშუალებას.</w:t>
      </w:r>
      <w:r w:rsidR="00725FDD" w:rsidRPr="007971BD">
        <w:rPr>
          <w:rFonts w:ascii="Sylfaen" w:eastAsia="Merriweather" w:hAnsi="Sylfaen" w:cs="Merriweather"/>
          <w:sz w:val="24"/>
          <w:szCs w:val="24"/>
          <w:lang w:val="ka-GE"/>
        </w:rPr>
        <w:t xml:space="preserve"> </w:t>
      </w:r>
      <w:r w:rsidR="002B0659" w:rsidRPr="007971BD">
        <w:rPr>
          <w:rFonts w:ascii="Sylfaen" w:eastAsia="Merriweather" w:hAnsi="Sylfaen" w:cs="Merriweather"/>
          <w:sz w:val="24"/>
          <w:szCs w:val="24"/>
          <w:lang w:val="ka-GE"/>
        </w:rPr>
        <w:t xml:space="preserve"> </w:t>
      </w:r>
    </w:p>
    <w:p w14:paraId="2147FC77" w14:textId="65DA8437" w:rsidR="007025B6" w:rsidRPr="007971BD" w:rsidRDefault="00BF799D"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Pr>
          <w:rFonts w:ascii="Sylfaen" w:eastAsia="Merriweather" w:hAnsi="Sylfaen" w:cs="Merriweather"/>
          <w:sz w:val="24"/>
          <w:szCs w:val="24"/>
          <w:lang w:val="ka-GE"/>
        </w:rPr>
        <w:t>გარდა ამისა,</w:t>
      </w:r>
      <w:r w:rsidR="003A7925" w:rsidRPr="007971BD">
        <w:rPr>
          <w:rFonts w:ascii="Sylfaen" w:eastAsia="Merriweather" w:hAnsi="Sylfaen" w:cs="Merriweather"/>
          <w:sz w:val="24"/>
          <w:szCs w:val="24"/>
          <w:lang w:val="ka-GE"/>
        </w:rPr>
        <w:t xml:space="preserve"> სხვა ღონისძიებებიც არსებობს, რომლებიც არა მარტო ნაკლებად შემზღუდველი, არამედ, არანაკლებ გამოსადეგი და ეფექტიანი იქნებოდა დასახული ლეგიტიმური მიზნების მისაღწევად. </w:t>
      </w:r>
      <w:r w:rsidR="00812A3C" w:rsidRPr="007971BD">
        <w:rPr>
          <w:rFonts w:ascii="Sylfaen" w:eastAsia="Merriweather" w:hAnsi="Sylfaen" w:cs="Merriweather"/>
          <w:sz w:val="24"/>
          <w:szCs w:val="24"/>
          <w:lang w:val="ka-GE"/>
        </w:rPr>
        <w:t>მაგალით</w:t>
      </w:r>
      <w:r w:rsidR="003A7925" w:rsidRPr="007971BD">
        <w:rPr>
          <w:rFonts w:ascii="Sylfaen" w:eastAsia="Merriweather" w:hAnsi="Sylfaen" w:cs="Merriweather"/>
          <w:sz w:val="24"/>
          <w:szCs w:val="24"/>
          <w:lang w:val="ka-GE"/>
        </w:rPr>
        <w:t xml:space="preserve">ად, </w:t>
      </w:r>
      <w:r w:rsidR="0074175D" w:rsidRPr="007971BD">
        <w:rPr>
          <w:rFonts w:ascii="Sylfaen" w:eastAsia="Merriweather" w:hAnsi="Sylfaen" w:cs="Merriweather"/>
          <w:sz w:val="24"/>
          <w:szCs w:val="24"/>
          <w:lang w:val="ka-GE"/>
        </w:rPr>
        <w:t>თაობათა ცვლის ხელშ</w:t>
      </w:r>
      <w:r w:rsidR="00DE0F55" w:rsidRPr="007971BD">
        <w:rPr>
          <w:rFonts w:ascii="Sylfaen" w:eastAsia="Merriweather" w:hAnsi="Sylfaen" w:cs="Merriweather"/>
          <w:sz w:val="24"/>
          <w:szCs w:val="24"/>
          <w:lang w:val="ka-GE"/>
        </w:rPr>
        <w:t>ე</w:t>
      </w:r>
      <w:r w:rsidR="00B875BD" w:rsidRPr="007971BD">
        <w:rPr>
          <w:rFonts w:ascii="Sylfaen" w:eastAsia="Merriweather" w:hAnsi="Sylfaen" w:cs="Merriweather"/>
          <w:sz w:val="24"/>
          <w:szCs w:val="24"/>
          <w:lang w:val="ka-GE"/>
        </w:rPr>
        <w:t>წყობას</w:t>
      </w:r>
      <w:r w:rsidR="0074175D" w:rsidRPr="007971BD">
        <w:rPr>
          <w:rFonts w:ascii="Sylfaen" w:eastAsia="Merriweather" w:hAnsi="Sylfaen" w:cs="Merriweather"/>
          <w:sz w:val="24"/>
          <w:szCs w:val="24"/>
          <w:lang w:val="ka-GE"/>
        </w:rPr>
        <w:t xml:space="preserve">  და კიდევ იმ</w:t>
      </w:r>
      <w:r w:rsidR="00B875BD" w:rsidRPr="007971BD">
        <w:rPr>
          <w:rFonts w:ascii="Sylfaen" w:eastAsia="Merriweather" w:hAnsi="Sylfaen" w:cs="Merriweather"/>
          <w:sz w:val="24"/>
          <w:szCs w:val="24"/>
          <w:lang w:val="ka-GE"/>
        </w:rPr>
        <w:t>ის პრევენციას,</w:t>
      </w:r>
      <w:r w:rsidR="0074175D" w:rsidRPr="007971BD">
        <w:rPr>
          <w:rFonts w:ascii="Sylfaen" w:eastAsia="Merriweather" w:hAnsi="Sylfaen" w:cs="Merriweather"/>
          <w:sz w:val="24"/>
          <w:szCs w:val="24"/>
          <w:lang w:val="ka-GE"/>
        </w:rPr>
        <w:t xml:space="preserve"> რომ</w:t>
      </w:r>
      <w:r w:rsidR="00DE0F55" w:rsidRPr="007971BD">
        <w:rPr>
          <w:rFonts w:ascii="Sylfaen" w:eastAsia="Merriweather" w:hAnsi="Sylfaen" w:cs="Merriweather"/>
          <w:sz w:val="24"/>
          <w:szCs w:val="24"/>
          <w:lang w:val="ka-GE"/>
        </w:rPr>
        <w:t xml:space="preserve"> სასამართლოს სისტემას ტვირთად არ დააწვეს </w:t>
      </w:r>
      <w:r w:rsidR="0074175D" w:rsidRPr="007971BD">
        <w:rPr>
          <w:rFonts w:ascii="Sylfaen" w:eastAsia="Merriweather" w:hAnsi="Sylfaen" w:cs="Merriweather"/>
          <w:sz w:val="24"/>
          <w:szCs w:val="24"/>
          <w:lang w:val="ka-GE"/>
        </w:rPr>
        <w:t xml:space="preserve"> 65 წლის ასაკს</w:t>
      </w:r>
      <w:r w:rsidR="00DE0F55" w:rsidRPr="007971BD">
        <w:rPr>
          <w:rFonts w:ascii="Sylfaen" w:eastAsia="Merriweather" w:hAnsi="Sylfaen" w:cs="Merriweather"/>
          <w:sz w:val="24"/>
          <w:szCs w:val="24"/>
          <w:lang w:val="ka-GE"/>
        </w:rPr>
        <w:t xml:space="preserve"> მიღწეული ის მოსამართლეები, ვისი შრომითი უნარებიც </w:t>
      </w:r>
      <w:r w:rsidR="00B875BD" w:rsidRPr="007971BD">
        <w:rPr>
          <w:rFonts w:ascii="Sylfaen" w:eastAsia="Merriweather" w:hAnsi="Sylfaen" w:cs="Merriweather"/>
          <w:sz w:val="24"/>
          <w:szCs w:val="24"/>
          <w:lang w:val="ka-GE"/>
        </w:rPr>
        <w:t xml:space="preserve">მართლაც </w:t>
      </w:r>
      <w:r w:rsidR="00B50C4E" w:rsidRPr="007971BD">
        <w:rPr>
          <w:rFonts w:ascii="Sylfaen" w:eastAsia="Merriweather" w:hAnsi="Sylfaen" w:cs="Merriweather"/>
          <w:sz w:val="24"/>
          <w:szCs w:val="24"/>
          <w:lang w:val="ka-GE"/>
        </w:rPr>
        <w:t>შ</w:t>
      </w:r>
      <w:r w:rsidR="00812A3C" w:rsidRPr="007971BD">
        <w:rPr>
          <w:rFonts w:ascii="Sylfaen" w:eastAsia="Merriweather" w:hAnsi="Sylfaen" w:cs="Merriweather"/>
          <w:sz w:val="24"/>
          <w:szCs w:val="24"/>
          <w:lang w:val="ka-GE"/>
        </w:rPr>
        <w:t>ე</w:t>
      </w:r>
      <w:r w:rsidR="00B50C4E" w:rsidRPr="007971BD">
        <w:rPr>
          <w:rFonts w:ascii="Sylfaen" w:eastAsia="Merriweather" w:hAnsi="Sylfaen" w:cs="Merriweather"/>
          <w:sz w:val="24"/>
          <w:szCs w:val="24"/>
          <w:lang w:val="ka-GE"/>
        </w:rPr>
        <w:t>იძლება იყოს</w:t>
      </w:r>
      <w:r w:rsidR="00725FDD" w:rsidRPr="007971BD">
        <w:rPr>
          <w:rFonts w:ascii="Sylfaen" w:eastAsia="Merriweather" w:hAnsi="Sylfaen" w:cs="Merriweather"/>
          <w:sz w:val="24"/>
          <w:szCs w:val="24"/>
          <w:lang w:val="ka-GE"/>
        </w:rPr>
        <w:t xml:space="preserve">  რამდენადმე </w:t>
      </w:r>
      <w:r w:rsidR="00B875BD" w:rsidRPr="007971BD">
        <w:rPr>
          <w:rFonts w:ascii="Sylfaen" w:eastAsia="Merriweather" w:hAnsi="Sylfaen" w:cs="Merriweather"/>
          <w:sz w:val="24"/>
          <w:szCs w:val="24"/>
          <w:lang w:val="ka-GE"/>
        </w:rPr>
        <w:t xml:space="preserve">გაუარესებული, სხვაგვარი მისაგებელი ესაჭიროება. მაგალითად, </w:t>
      </w:r>
      <w:r w:rsidR="00940D1C" w:rsidRPr="007971BD">
        <w:rPr>
          <w:rFonts w:ascii="Sylfaen" w:eastAsia="Merriweather" w:hAnsi="Sylfaen" w:cs="Merriweather"/>
          <w:sz w:val="24"/>
          <w:szCs w:val="24"/>
          <w:lang w:val="ka-GE"/>
        </w:rPr>
        <w:t xml:space="preserve"> ამგვარი საშუალება </w:t>
      </w:r>
      <w:r w:rsidR="00B875BD" w:rsidRPr="007971BD">
        <w:rPr>
          <w:rFonts w:ascii="Sylfaen" w:eastAsia="Merriweather" w:hAnsi="Sylfaen" w:cs="Merriweather"/>
          <w:sz w:val="24"/>
          <w:szCs w:val="24"/>
          <w:lang w:val="ka-GE"/>
        </w:rPr>
        <w:t xml:space="preserve"> </w:t>
      </w:r>
      <w:r w:rsidR="00940D1C" w:rsidRPr="007971BD">
        <w:rPr>
          <w:rFonts w:ascii="Sylfaen" w:eastAsia="Merriweather" w:hAnsi="Sylfaen" w:cs="Merriweather"/>
          <w:sz w:val="24"/>
          <w:szCs w:val="24"/>
          <w:lang w:val="ka-GE"/>
        </w:rPr>
        <w:t>იქნებოდა</w:t>
      </w:r>
      <w:r w:rsidR="00B875BD" w:rsidRPr="007971BD">
        <w:rPr>
          <w:rFonts w:ascii="Sylfaen" w:eastAsia="Merriweather" w:hAnsi="Sylfaen" w:cs="Merriweather"/>
          <w:sz w:val="24"/>
          <w:szCs w:val="24"/>
          <w:lang w:val="ka-GE"/>
        </w:rPr>
        <w:t xml:space="preserve"> </w:t>
      </w:r>
      <w:r w:rsidR="00940D1C" w:rsidRPr="007971BD">
        <w:rPr>
          <w:rFonts w:ascii="Sylfaen" w:eastAsia="Merriweather" w:hAnsi="Sylfaen" w:cs="Merriweather"/>
          <w:sz w:val="24"/>
          <w:szCs w:val="24"/>
          <w:lang w:val="ka-GE"/>
        </w:rPr>
        <w:t>ნებაყოფლობითი (უფრო ადრინდელი, მაგალითად, 65 წლიდან) საპენსიო ასაკისა და სავალდებულო (უფრო გვიანდელი, მაგალითად, 70 წლის მიღწევისას) საპენსიო</w:t>
      </w:r>
      <w:r w:rsidR="00B875BD" w:rsidRPr="007971BD">
        <w:rPr>
          <w:rFonts w:ascii="Sylfaen" w:eastAsia="Merriweather" w:hAnsi="Sylfaen" w:cs="Merriweather"/>
          <w:sz w:val="24"/>
          <w:szCs w:val="24"/>
          <w:lang w:val="ka-GE"/>
        </w:rPr>
        <w:t xml:space="preserve"> ასაკის </w:t>
      </w:r>
      <w:r w:rsidR="00940D1C" w:rsidRPr="007971BD">
        <w:rPr>
          <w:rFonts w:ascii="Sylfaen" w:eastAsia="Merriweather" w:hAnsi="Sylfaen" w:cs="Merriweather"/>
          <w:sz w:val="24"/>
          <w:szCs w:val="24"/>
          <w:lang w:val="ka-GE"/>
        </w:rPr>
        <w:t xml:space="preserve">ერთგვარი კომბინაცია ორივე შემთხვევაში </w:t>
      </w:r>
      <w:r w:rsidR="00A214A4" w:rsidRPr="007971BD">
        <w:rPr>
          <w:rFonts w:ascii="Sylfaen" w:eastAsia="Merriweather" w:hAnsi="Sylfaen" w:cs="Merriweather"/>
          <w:sz w:val="24"/>
          <w:szCs w:val="24"/>
          <w:lang w:val="ka-GE"/>
        </w:rPr>
        <w:t xml:space="preserve"> </w:t>
      </w:r>
      <w:r w:rsidR="00B875BD" w:rsidRPr="007971BD">
        <w:rPr>
          <w:rFonts w:ascii="Sylfaen" w:eastAsia="Merriweather" w:hAnsi="Sylfaen" w:cs="Merriweather"/>
          <w:sz w:val="24"/>
          <w:szCs w:val="24"/>
          <w:lang w:val="ka-GE"/>
        </w:rPr>
        <w:t>სოციალური პირობების სრულად შენარჩუნებით; ცხადია, ამასთანავე იმის უზრუნველყოფით, რომ ეს პირობები იყოს იმგვარი, რომელიც  მოსამართლეს სამსახურის დატოვებისაკენ განაწყობს და არა მისი შენარჩუნებისკენ</w:t>
      </w:r>
      <w:r w:rsidR="00A214A4" w:rsidRPr="007971BD">
        <w:rPr>
          <w:rFonts w:ascii="Sylfaen" w:eastAsia="Merriweather" w:hAnsi="Sylfaen" w:cs="Merriweather"/>
          <w:sz w:val="24"/>
          <w:szCs w:val="24"/>
          <w:lang w:val="ka-GE"/>
        </w:rPr>
        <w:t xml:space="preserve"> </w:t>
      </w:r>
      <w:r w:rsidR="00B875BD" w:rsidRPr="007971BD">
        <w:rPr>
          <w:rFonts w:ascii="Sylfaen" w:eastAsia="Merriweather" w:hAnsi="Sylfaen" w:cs="Merriweather"/>
          <w:sz w:val="24"/>
          <w:szCs w:val="24"/>
          <w:lang w:val="ka-GE"/>
        </w:rPr>
        <w:t xml:space="preserve">იმ სირთულეების მიუხედავად, რასაც იგი, თავისი გაუარესებული შრომითი უნარების გამო შეიძლება განიცდიდეს სამსახურებრივი ფუნქციების შესრულებისას. </w:t>
      </w:r>
      <w:r w:rsidR="003A7925" w:rsidRPr="007971BD">
        <w:rPr>
          <w:rFonts w:ascii="Sylfaen" w:eastAsia="Merriweather" w:hAnsi="Sylfaen" w:cs="Merriweather"/>
          <w:sz w:val="24"/>
          <w:szCs w:val="24"/>
          <w:lang w:val="ka-GE"/>
        </w:rPr>
        <w:t>ამ მისაგებელში</w:t>
      </w:r>
      <w:r w:rsidR="00B875BD" w:rsidRPr="007971BD">
        <w:rPr>
          <w:rFonts w:ascii="Sylfaen" w:eastAsia="Merriweather" w:hAnsi="Sylfaen" w:cs="Merriweather"/>
          <w:sz w:val="24"/>
          <w:szCs w:val="24"/>
          <w:lang w:val="ka-GE"/>
        </w:rPr>
        <w:t xml:space="preserve"> უწინარესად, ვგულისხმობ მოსამართლის გასამრჯელოს ოდენობის საპენსიო უზრუნველყოფას. </w:t>
      </w:r>
      <w:r w:rsidR="00725FDD" w:rsidRPr="007971BD">
        <w:rPr>
          <w:rFonts w:ascii="Sylfaen" w:eastAsia="Merriweather" w:hAnsi="Sylfaen" w:cs="Merriweather"/>
          <w:sz w:val="24"/>
          <w:szCs w:val="24"/>
          <w:lang w:val="ka-GE"/>
        </w:rPr>
        <w:t xml:space="preserve"> </w:t>
      </w:r>
      <w:r w:rsidR="003A7925" w:rsidRPr="007971BD">
        <w:rPr>
          <w:rFonts w:ascii="Sylfaen" w:eastAsia="Merriweather" w:hAnsi="Sylfaen" w:cs="Merriweather"/>
          <w:sz w:val="24"/>
          <w:szCs w:val="24"/>
          <w:lang w:val="ka-GE"/>
        </w:rPr>
        <w:t xml:space="preserve">ეს ორი კომპონენტი, ერთობლიობაში, </w:t>
      </w:r>
      <w:r w:rsidR="002B0659" w:rsidRPr="007971BD">
        <w:rPr>
          <w:rFonts w:ascii="Sylfaen" w:eastAsia="Merriweather" w:hAnsi="Sylfaen" w:cs="Merriweather"/>
          <w:sz w:val="24"/>
          <w:szCs w:val="24"/>
          <w:lang w:val="ka-GE"/>
        </w:rPr>
        <w:t xml:space="preserve">ასევე </w:t>
      </w:r>
      <w:r w:rsidR="003A7925" w:rsidRPr="007971BD">
        <w:rPr>
          <w:rFonts w:ascii="Sylfaen" w:eastAsia="Merriweather" w:hAnsi="Sylfaen" w:cs="Merriweather"/>
          <w:sz w:val="24"/>
          <w:szCs w:val="24"/>
          <w:lang w:val="ka-GE"/>
        </w:rPr>
        <w:t xml:space="preserve">წარმოადგენს </w:t>
      </w:r>
      <w:r w:rsidR="00725FDD" w:rsidRPr="007971BD">
        <w:rPr>
          <w:rFonts w:ascii="Sylfaen" w:eastAsia="Merriweather" w:hAnsi="Sylfaen" w:cs="Merriweather"/>
          <w:sz w:val="24"/>
          <w:szCs w:val="24"/>
          <w:lang w:val="ka-GE"/>
        </w:rPr>
        <w:t>ნაკლე</w:t>
      </w:r>
      <w:r w:rsidR="003A7925" w:rsidRPr="007971BD">
        <w:rPr>
          <w:rFonts w:ascii="Sylfaen" w:eastAsia="Merriweather" w:hAnsi="Sylfaen" w:cs="Merriweather"/>
          <w:sz w:val="24"/>
          <w:szCs w:val="24"/>
          <w:lang w:val="ka-GE"/>
        </w:rPr>
        <w:t xml:space="preserve">ბად შემზღუდველ </w:t>
      </w:r>
      <w:r w:rsidR="002B0659" w:rsidRPr="007971BD">
        <w:rPr>
          <w:rFonts w:ascii="Sylfaen" w:eastAsia="Merriweather" w:hAnsi="Sylfaen" w:cs="Merriweather"/>
          <w:sz w:val="24"/>
          <w:szCs w:val="24"/>
          <w:lang w:val="ka-GE"/>
        </w:rPr>
        <w:t>ღონისძიება</w:t>
      </w:r>
      <w:r w:rsidR="003A7925" w:rsidRPr="007971BD">
        <w:rPr>
          <w:rFonts w:ascii="Sylfaen" w:eastAsia="Merriweather" w:hAnsi="Sylfaen" w:cs="Merriweather"/>
          <w:sz w:val="24"/>
          <w:szCs w:val="24"/>
          <w:lang w:val="ka-GE"/>
        </w:rPr>
        <w:t xml:space="preserve">ს, </w:t>
      </w:r>
      <w:r w:rsidR="002B0659" w:rsidRPr="007971BD">
        <w:rPr>
          <w:rFonts w:ascii="Sylfaen" w:eastAsia="Merriweather" w:hAnsi="Sylfaen" w:cs="Merriweather"/>
          <w:sz w:val="24"/>
          <w:szCs w:val="24"/>
          <w:lang w:val="ka-GE"/>
        </w:rPr>
        <w:t xml:space="preserve">რომლის </w:t>
      </w:r>
      <w:r w:rsidR="00725FDD" w:rsidRPr="007971BD">
        <w:rPr>
          <w:rFonts w:ascii="Sylfaen" w:eastAsia="Merriweather" w:hAnsi="Sylfaen" w:cs="Merriweather"/>
          <w:sz w:val="24"/>
          <w:szCs w:val="24"/>
          <w:lang w:val="ka-GE"/>
        </w:rPr>
        <w:t>არსებ</w:t>
      </w:r>
      <w:r w:rsidR="003A7925" w:rsidRPr="007971BD">
        <w:rPr>
          <w:rFonts w:ascii="Sylfaen" w:eastAsia="Merriweather" w:hAnsi="Sylfaen" w:cs="Merriweather"/>
          <w:sz w:val="24"/>
          <w:szCs w:val="24"/>
          <w:lang w:val="ka-GE"/>
        </w:rPr>
        <w:t>ობა</w:t>
      </w:r>
      <w:r w:rsidR="00725FDD" w:rsidRPr="007971BD">
        <w:rPr>
          <w:rFonts w:ascii="Sylfaen" w:eastAsia="Merriweather" w:hAnsi="Sylfaen" w:cs="Merriweather"/>
          <w:sz w:val="24"/>
          <w:szCs w:val="24"/>
          <w:lang w:val="ka-GE"/>
        </w:rPr>
        <w:t xml:space="preserve"> </w:t>
      </w:r>
      <w:r w:rsidR="00A214A4" w:rsidRPr="007971BD">
        <w:rPr>
          <w:rFonts w:ascii="Sylfaen" w:eastAsia="Merriweather" w:hAnsi="Sylfaen" w:cs="Merriweather"/>
          <w:sz w:val="24"/>
          <w:szCs w:val="24"/>
          <w:lang w:val="ka-GE"/>
        </w:rPr>
        <w:t xml:space="preserve"> არ იქნა მხედველობაში მიღებული.</w:t>
      </w:r>
      <w:r w:rsidR="003A7925" w:rsidRPr="007971BD">
        <w:rPr>
          <w:rFonts w:ascii="Sylfaen" w:eastAsia="Merriweather" w:hAnsi="Sylfaen" w:cs="Merriweather"/>
          <w:sz w:val="24"/>
          <w:szCs w:val="24"/>
          <w:lang w:val="ka-GE"/>
        </w:rPr>
        <w:t xml:space="preserve"> </w:t>
      </w:r>
      <w:r w:rsidR="00A214A4" w:rsidRPr="007971BD">
        <w:rPr>
          <w:rFonts w:ascii="Sylfaen" w:eastAsia="Merriweather" w:hAnsi="Sylfaen" w:cs="Merriweather"/>
          <w:sz w:val="24"/>
          <w:szCs w:val="24"/>
          <w:lang w:val="ka-GE"/>
        </w:rPr>
        <w:t>აღარაფერს ვამბობ კიდევ უფრო ნაკლებად შემზღუდველ შემთხვევებზე, როდესაც მოსამართლე დანიშნულია უვადოდ და მხოლოდ ასაკის გამო მას ვერ შეუწყდება უფლებამოსილება</w:t>
      </w:r>
      <w:r w:rsidR="004C4CB3">
        <w:rPr>
          <w:rFonts w:ascii="Sylfaen" w:eastAsia="Merriweather" w:hAnsi="Sylfaen" w:cs="Merriweather"/>
          <w:sz w:val="24"/>
          <w:szCs w:val="24"/>
          <w:lang w:val="ka-GE"/>
        </w:rPr>
        <w:t xml:space="preserve">. </w:t>
      </w:r>
      <w:r w:rsidR="002D5AF6" w:rsidRPr="007971BD">
        <w:rPr>
          <w:rFonts w:ascii="Sylfaen" w:eastAsia="Merriweather" w:hAnsi="Sylfaen" w:cs="Merriweather"/>
          <w:sz w:val="24"/>
          <w:szCs w:val="24"/>
          <w:lang w:val="ka-GE"/>
        </w:rPr>
        <w:t>ზემო</w:t>
      </w:r>
      <w:r w:rsidR="00A214A4" w:rsidRPr="007971BD">
        <w:rPr>
          <w:rFonts w:ascii="Sylfaen" w:eastAsia="Merriweather" w:hAnsi="Sylfaen" w:cs="Merriweather"/>
          <w:sz w:val="24"/>
          <w:szCs w:val="24"/>
          <w:lang w:val="ka-GE"/>
        </w:rPr>
        <w:t>აღნიშნულ ნაკლებად შე</w:t>
      </w:r>
      <w:r w:rsidR="002D5AF6" w:rsidRPr="007971BD">
        <w:rPr>
          <w:rFonts w:ascii="Sylfaen" w:eastAsia="Merriweather" w:hAnsi="Sylfaen" w:cs="Merriweather"/>
          <w:sz w:val="24"/>
          <w:szCs w:val="24"/>
          <w:lang w:val="ka-GE"/>
        </w:rPr>
        <w:t>მზღუდველ</w:t>
      </w:r>
      <w:r w:rsidR="00A214A4" w:rsidRPr="007971BD">
        <w:rPr>
          <w:rFonts w:ascii="Sylfaen" w:eastAsia="Merriweather" w:hAnsi="Sylfaen" w:cs="Merriweather"/>
          <w:sz w:val="24"/>
          <w:szCs w:val="24"/>
          <w:lang w:val="ka-GE"/>
        </w:rPr>
        <w:t xml:space="preserve"> </w:t>
      </w:r>
      <w:r w:rsidR="002D5AF6" w:rsidRPr="007971BD">
        <w:rPr>
          <w:rFonts w:ascii="Sylfaen" w:eastAsia="Merriweather" w:hAnsi="Sylfaen" w:cs="Merriweather"/>
          <w:sz w:val="24"/>
          <w:szCs w:val="24"/>
          <w:lang w:val="ka-GE"/>
        </w:rPr>
        <w:t xml:space="preserve">ღონისძიებათა ეფექტიანობა სასამართლოს არ შეუფასებია და ამიტომ დებულება, თითქოს </w:t>
      </w:r>
      <w:r w:rsidR="00A214A4" w:rsidRPr="007971BD">
        <w:rPr>
          <w:rFonts w:ascii="Sylfaen" w:eastAsia="Merriweather" w:hAnsi="Sylfaen" w:cs="Merriweather"/>
          <w:sz w:val="24"/>
          <w:szCs w:val="24"/>
          <w:lang w:val="ka-GE"/>
        </w:rPr>
        <w:t xml:space="preserve"> </w:t>
      </w:r>
      <w:r w:rsidR="002D5AF6" w:rsidRPr="007971BD">
        <w:rPr>
          <w:rFonts w:ascii="Sylfaen" w:eastAsia="Merriweather" w:hAnsi="Sylfaen" w:cs="Merriweather"/>
          <w:sz w:val="24"/>
          <w:szCs w:val="24"/>
          <w:lang w:val="ka-GE"/>
        </w:rPr>
        <w:t>„არ არსებობდა რაიმე უფრო მსუბუქი საშუალება, რომელიც  ლეგიტიმურ მიზნებს იგივე ეფექტურობით მიაღწევდა“ , საფუძვლიანი და დამაჯერებელი  არ არის.</w:t>
      </w:r>
    </w:p>
    <w:p w14:paraId="4895AEB3" w14:textId="77777777" w:rsidR="007025B6" w:rsidRPr="007971BD" w:rsidRDefault="007025B6"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p>
    <w:p w14:paraId="43C2C8A8" w14:textId="77777777" w:rsidR="007025B6" w:rsidRPr="007971BD" w:rsidRDefault="007025B6" w:rsidP="007847FD">
      <w:pPr>
        <w:pStyle w:val="Heading2"/>
        <w:numPr>
          <w:ilvl w:val="0"/>
          <w:numId w:val="7"/>
        </w:numPr>
        <w:ind w:left="0" w:firstLine="284"/>
        <w:jc w:val="both"/>
        <w:rPr>
          <w:rFonts w:ascii="Sylfaen" w:hAnsi="Sylfaen"/>
          <w:b/>
          <w:bCs/>
          <w:color w:val="auto"/>
          <w:sz w:val="24"/>
          <w:szCs w:val="24"/>
          <w:lang w:val="ka-GE"/>
        </w:rPr>
      </w:pPr>
      <w:r w:rsidRPr="007971BD">
        <w:rPr>
          <w:rFonts w:ascii="Sylfaen" w:hAnsi="Sylfaen"/>
          <w:b/>
          <w:bCs/>
          <w:color w:val="auto"/>
          <w:sz w:val="24"/>
          <w:szCs w:val="24"/>
          <w:lang w:val="ka-GE"/>
        </w:rPr>
        <w:t>მოსამართლის თანამდებობის განსაკუთრებულობის და თანამედროვე  ასაკობრივი რეალიების გაუთვალისწინებლობა</w:t>
      </w:r>
    </w:p>
    <w:p w14:paraId="2F6B55AE" w14:textId="77777777" w:rsidR="007025B6" w:rsidRPr="007971BD" w:rsidRDefault="007025B6" w:rsidP="007847FD">
      <w:pPr>
        <w:pStyle w:val="ListParagraph"/>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p>
    <w:p w14:paraId="2C30D29F" w14:textId="3122A0AA" w:rsidR="007025B6" w:rsidRPr="007971BD" w:rsidRDefault="002B0659"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 xml:space="preserve">ვფიქრობ, </w:t>
      </w:r>
      <w:r w:rsidR="005840D8" w:rsidRPr="007971BD">
        <w:rPr>
          <w:rFonts w:ascii="Sylfaen" w:hAnsi="Sylfaen" w:cs="Sylfaen"/>
          <w:sz w:val="24"/>
          <w:szCs w:val="24"/>
          <w:lang w:val="ka-GE"/>
        </w:rPr>
        <w:t xml:space="preserve"> </w:t>
      </w:r>
      <w:r w:rsidRPr="007971BD">
        <w:rPr>
          <w:rFonts w:ascii="Sylfaen" w:hAnsi="Sylfaen" w:cs="Sylfaen"/>
          <w:sz w:val="24"/>
          <w:szCs w:val="24"/>
          <w:lang w:val="ka-GE"/>
        </w:rPr>
        <w:t xml:space="preserve">სასამართლოს </w:t>
      </w:r>
      <w:r w:rsidR="005840D8" w:rsidRPr="007971BD">
        <w:rPr>
          <w:rFonts w:ascii="Sylfaen" w:hAnsi="Sylfaen" w:cs="Sylfaen"/>
          <w:sz w:val="24"/>
          <w:szCs w:val="24"/>
          <w:lang w:val="ka-GE"/>
        </w:rPr>
        <w:t>უფრო სიღ</w:t>
      </w:r>
      <w:r w:rsidR="006A3A18">
        <w:rPr>
          <w:rFonts w:ascii="Sylfaen" w:hAnsi="Sylfaen" w:cs="Sylfaen"/>
          <w:sz w:val="24"/>
          <w:szCs w:val="24"/>
          <w:lang w:val="ka-GE"/>
        </w:rPr>
        <w:t>რ</w:t>
      </w:r>
      <w:r w:rsidR="005840D8" w:rsidRPr="007971BD">
        <w:rPr>
          <w:rFonts w:ascii="Sylfaen" w:hAnsi="Sylfaen" w:cs="Sylfaen"/>
          <w:sz w:val="24"/>
          <w:szCs w:val="24"/>
          <w:lang w:val="ka-GE"/>
        </w:rPr>
        <w:t xml:space="preserve">მისეულად უნდა ემსჯელა და </w:t>
      </w:r>
      <w:r w:rsidRPr="007971BD">
        <w:rPr>
          <w:rFonts w:ascii="Sylfaen" w:hAnsi="Sylfaen" w:cs="Sylfaen"/>
          <w:sz w:val="24"/>
          <w:szCs w:val="24"/>
          <w:lang w:val="ka-GE"/>
        </w:rPr>
        <w:t>გაეთვალისწინებინა მოსამართლის თანამდებობის სპეციფიკა და ის გარემოება, თუ რაოდენ დიდი მნიშვნელობა აქვს მოსამართლის პროფესიონალიზმს, გამოცდილებასა და სამოსამართლო უნარ</w:t>
      </w:r>
      <w:r w:rsidR="002D5AF6" w:rsidRPr="007971BD">
        <w:rPr>
          <w:rFonts w:ascii="Sylfaen" w:hAnsi="Sylfaen" w:cs="Sylfaen"/>
          <w:sz w:val="24"/>
          <w:szCs w:val="24"/>
          <w:lang w:val="ka-GE"/>
        </w:rPr>
        <w:t>-</w:t>
      </w:r>
      <w:r w:rsidRPr="007971BD">
        <w:rPr>
          <w:rFonts w:ascii="Sylfaen" w:hAnsi="Sylfaen" w:cs="Sylfaen"/>
          <w:sz w:val="24"/>
          <w:szCs w:val="24"/>
          <w:lang w:val="ka-GE"/>
        </w:rPr>
        <w:t xml:space="preserve">ჩვევებს, რაც სწორედ წლების განმავლობაში, სამოსამართლო საქმიანობის განხორციელების დროს  ყალიბდება </w:t>
      </w:r>
      <w:r w:rsidRPr="007971BD">
        <w:rPr>
          <w:rFonts w:ascii="Sylfaen" w:hAnsi="Sylfaen" w:cs="Sylfaen"/>
          <w:sz w:val="24"/>
          <w:szCs w:val="24"/>
          <w:lang w:val="ka-GE"/>
        </w:rPr>
        <w:lastRenderedPageBreak/>
        <w:t>და მუდამ მდიდრდება ახალ</w:t>
      </w:r>
      <w:r w:rsidR="007025B6" w:rsidRPr="007971BD">
        <w:rPr>
          <w:rFonts w:ascii="Sylfaen" w:hAnsi="Sylfaen" w:cs="Sylfaen"/>
          <w:sz w:val="24"/>
          <w:szCs w:val="24"/>
          <w:lang w:val="ka-GE"/>
        </w:rPr>
        <w:t>ი</w:t>
      </w:r>
      <w:r w:rsidRPr="007971BD">
        <w:rPr>
          <w:rFonts w:ascii="Sylfaen" w:hAnsi="Sylfaen" w:cs="Sylfaen"/>
          <w:sz w:val="24"/>
          <w:szCs w:val="24"/>
          <w:lang w:val="ka-GE"/>
        </w:rPr>
        <w:t xml:space="preserve"> გამოცდილების კვალობაზე. საზოგადოდ, სწორედ ის სისტემაა ეფექტიანი, რომელიც კარგად მომზადებულ კადრს</w:t>
      </w:r>
      <w:r w:rsidR="002D5AF6" w:rsidRPr="007971BD">
        <w:rPr>
          <w:rFonts w:ascii="Sylfaen" w:hAnsi="Sylfaen" w:cs="Sylfaen"/>
          <w:sz w:val="24"/>
          <w:szCs w:val="24"/>
          <w:lang w:val="ka-GE"/>
        </w:rPr>
        <w:t>, თავისი საქმის პროფესიონალს</w:t>
      </w:r>
      <w:r w:rsidRPr="007971BD">
        <w:rPr>
          <w:rFonts w:ascii="Sylfaen" w:hAnsi="Sylfaen" w:cs="Sylfaen"/>
          <w:sz w:val="24"/>
          <w:szCs w:val="24"/>
          <w:lang w:val="ka-GE"/>
        </w:rPr>
        <w:t xml:space="preserve"> იქამდე შეინარჩუნებს, ვიდრე </w:t>
      </w:r>
      <w:r w:rsidR="00140FFD" w:rsidRPr="007971BD">
        <w:rPr>
          <w:rFonts w:ascii="Sylfaen" w:hAnsi="Sylfaen" w:cs="Sylfaen"/>
          <w:sz w:val="24"/>
          <w:szCs w:val="24"/>
          <w:lang w:val="ka-GE"/>
        </w:rPr>
        <w:t>იგი ეფექტიანად საქმიანობს  საზოგადოების სასიკეთოდ. დემოკრატიულ საზოგადოებაში, მათ შორის, საქართველოშიც, ჩვეულებრივ, დიდი რესურსი იდება მართლმსაჯულების სფეროში,  შექმნილია და ფუნქციონირებს მოსამართლეთა მუდმივი პროფესიული ზრდისა და გადამზადების სისტემები, რაც გულისხმობს  ყოველწლიურად</w:t>
      </w:r>
      <w:r w:rsidR="002D5AF6" w:rsidRPr="007971BD">
        <w:rPr>
          <w:rFonts w:ascii="Sylfaen" w:hAnsi="Sylfaen" w:cs="Sylfaen"/>
          <w:sz w:val="24"/>
          <w:szCs w:val="24"/>
          <w:lang w:val="ka-GE"/>
        </w:rPr>
        <w:t>,</w:t>
      </w:r>
      <w:r w:rsidR="00140FFD" w:rsidRPr="007971BD">
        <w:rPr>
          <w:rFonts w:ascii="Sylfaen" w:hAnsi="Sylfaen" w:cs="Sylfaen"/>
          <w:sz w:val="24"/>
          <w:szCs w:val="24"/>
          <w:lang w:val="ka-GE"/>
        </w:rPr>
        <w:t xml:space="preserve"> მათ რამდენიმე განსხვავებულ სასემინარო, სასწავლო თუ  </w:t>
      </w:r>
      <w:r w:rsidR="005840D8" w:rsidRPr="007971BD">
        <w:rPr>
          <w:rFonts w:ascii="Sylfaen" w:hAnsi="Sylfaen" w:cs="Sylfaen"/>
          <w:sz w:val="24"/>
          <w:szCs w:val="24"/>
          <w:lang w:val="ka-GE"/>
        </w:rPr>
        <w:t>სა</w:t>
      </w:r>
      <w:r w:rsidR="00140FFD" w:rsidRPr="007971BD">
        <w:rPr>
          <w:rFonts w:ascii="Sylfaen" w:hAnsi="Sylfaen" w:cs="Sylfaen"/>
          <w:sz w:val="24"/>
          <w:szCs w:val="24"/>
          <w:lang w:val="ka-GE"/>
        </w:rPr>
        <w:t xml:space="preserve">ტრენინგო პროგრამებში მონაწილეობას როგორც მათი უშუალო პროფესიული ინტერესების მხედველობაში მიღებით, ისე იმ მიმართულებებით, სადაც ხარვეზები </w:t>
      </w:r>
      <w:r w:rsidR="005840D8" w:rsidRPr="007971BD">
        <w:rPr>
          <w:rFonts w:ascii="Sylfaen" w:hAnsi="Sylfaen" w:cs="Sylfaen"/>
          <w:sz w:val="24"/>
          <w:szCs w:val="24"/>
          <w:lang w:val="ka-GE"/>
        </w:rPr>
        <w:t>აღენიშნებათ</w:t>
      </w:r>
      <w:r w:rsidR="002D5AF6" w:rsidRPr="007971BD">
        <w:rPr>
          <w:rFonts w:ascii="Sylfaen" w:hAnsi="Sylfaen" w:cs="Sylfaen"/>
          <w:sz w:val="24"/>
          <w:szCs w:val="24"/>
          <w:lang w:val="ka-GE"/>
        </w:rPr>
        <w:t>,</w:t>
      </w:r>
      <w:r w:rsidR="005840D8" w:rsidRPr="007971BD">
        <w:rPr>
          <w:rFonts w:ascii="Sylfaen" w:hAnsi="Sylfaen" w:cs="Sylfaen"/>
          <w:sz w:val="24"/>
          <w:szCs w:val="24"/>
          <w:lang w:val="ka-GE"/>
        </w:rPr>
        <w:t xml:space="preserve"> ანდა</w:t>
      </w:r>
      <w:r w:rsidR="002D5AF6" w:rsidRPr="007971BD">
        <w:rPr>
          <w:rFonts w:ascii="Sylfaen" w:hAnsi="Sylfaen" w:cs="Sylfaen"/>
          <w:sz w:val="24"/>
          <w:szCs w:val="24"/>
          <w:lang w:val="ka-GE"/>
        </w:rPr>
        <w:t>,</w:t>
      </w:r>
      <w:r w:rsidR="005840D8" w:rsidRPr="007971BD">
        <w:rPr>
          <w:rFonts w:ascii="Sylfaen" w:hAnsi="Sylfaen" w:cs="Sylfaen"/>
          <w:sz w:val="24"/>
          <w:szCs w:val="24"/>
          <w:lang w:val="ka-GE"/>
        </w:rPr>
        <w:t xml:space="preserve"> სადაც სამართლებრივი სიახლეები ინერგება და მკვიდრდება.</w:t>
      </w:r>
      <w:r w:rsidR="00140FFD" w:rsidRPr="007971BD">
        <w:rPr>
          <w:rFonts w:ascii="Sylfaen" w:hAnsi="Sylfaen" w:cs="Sylfaen"/>
          <w:sz w:val="24"/>
          <w:szCs w:val="24"/>
          <w:lang w:val="ka-GE"/>
        </w:rPr>
        <w:t xml:space="preserve"> </w:t>
      </w:r>
      <w:r w:rsidR="005840D8" w:rsidRPr="007971BD">
        <w:rPr>
          <w:rFonts w:ascii="Sylfaen" w:hAnsi="Sylfaen" w:cs="Sylfaen"/>
          <w:sz w:val="24"/>
          <w:szCs w:val="24"/>
          <w:lang w:val="ka-GE"/>
        </w:rPr>
        <w:t>ის უზარმაზარი ძალისხმევა და რესურსი, რაც მოსამართლეთა კორპუსის მუდმივ პროფესიულ ზრდას</w:t>
      </w:r>
      <w:r w:rsidR="002D5AF6" w:rsidRPr="007971BD">
        <w:rPr>
          <w:rFonts w:ascii="Sylfaen" w:hAnsi="Sylfaen" w:cs="Sylfaen"/>
          <w:sz w:val="24"/>
          <w:szCs w:val="24"/>
          <w:lang w:val="ka-GE"/>
        </w:rPr>
        <w:t>ა და სრულყოფას</w:t>
      </w:r>
      <w:r w:rsidR="005840D8" w:rsidRPr="007971BD">
        <w:rPr>
          <w:rFonts w:ascii="Sylfaen" w:hAnsi="Sylfaen" w:cs="Sylfaen"/>
          <w:sz w:val="24"/>
          <w:szCs w:val="24"/>
          <w:lang w:val="ka-GE"/>
        </w:rPr>
        <w:t xml:space="preserve"> ხმარდება, მოსამართლეთა </w:t>
      </w:r>
      <w:r w:rsidR="002D5AF6" w:rsidRPr="007971BD">
        <w:rPr>
          <w:rFonts w:ascii="Sylfaen" w:hAnsi="Sylfaen" w:cs="Sylfaen"/>
          <w:sz w:val="24"/>
          <w:szCs w:val="24"/>
          <w:lang w:val="ka-GE"/>
        </w:rPr>
        <w:t xml:space="preserve">ხარისხიანი </w:t>
      </w:r>
      <w:r w:rsidR="005840D8" w:rsidRPr="007971BD">
        <w:rPr>
          <w:rFonts w:ascii="Sylfaen" w:hAnsi="Sylfaen" w:cs="Sylfaen"/>
          <w:sz w:val="24"/>
          <w:szCs w:val="24"/>
          <w:lang w:val="ka-GE"/>
        </w:rPr>
        <w:t xml:space="preserve">საქმიანობით უნდა დაუბრუნდეს საზოგადოებას. ამიტომ, გონივრული არ არის, იმაზე ადრე </w:t>
      </w:r>
      <w:r w:rsidR="001D41CA" w:rsidRPr="007971BD">
        <w:rPr>
          <w:rFonts w:ascii="Sylfaen" w:hAnsi="Sylfaen" w:cs="Sylfaen"/>
          <w:sz w:val="24"/>
          <w:szCs w:val="24"/>
          <w:lang w:val="ka-GE"/>
        </w:rPr>
        <w:t>თ</w:t>
      </w:r>
      <w:r w:rsidR="005840D8" w:rsidRPr="007971BD">
        <w:rPr>
          <w:rFonts w:ascii="Sylfaen" w:hAnsi="Sylfaen" w:cs="Sylfaen"/>
          <w:sz w:val="24"/>
          <w:szCs w:val="24"/>
          <w:lang w:val="ka-GE"/>
        </w:rPr>
        <w:t xml:space="preserve">ქვას სახელმწიფომ მათ შრომაზე უარი, ვიდრე ნამდვილად არ დადგინდება </w:t>
      </w:r>
      <w:r w:rsidR="000A4E6F" w:rsidRPr="007971BD">
        <w:rPr>
          <w:rFonts w:ascii="Sylfaen" w:hAnsi="Sylfaen" w:cs="Sylfaen"/>
          <w:sz w:val="24"/>
          <w:szCs w:val="24"/>
          <w:lang w:val="ka-GE"/>
        </w:rPr>
        <w:t>მისი არა</w:t>
      </w:r>
      <w:r w:rsidR="00CA7226">
        <w:rPr>
          <w:rFonts w:ascii="Sylfaen" w:hAnsi="Sylfaen" w:cs="Sylfaen"/>
          <w:sz w:val="24"/>
          <w:szCs w:val="24"/>
          <w:lang w:val="ka-GE"/>
        </w:rPr>
        <w:t>ე</w:t>
      </w:r>
      <w:r w:rsidR="000A4E6F" w:rsidRPr="007971BD">
        <w:rPr>
          <w:rFonts w:ascii="Sylfaen" w:hAnsi="Sylfaen" w:cs="Sylfaen"/>
          <w:sz w:val="24"/>
          <w:szCs w:val="24"/>
          <w:lang w:val="ka-GE"/>
        </w:rPr>
        <w:t>ფექტიანობა და ხარვეზიანობა.</w:t>
      </w:r>
      <w:r w:rsidR="005840D8" w:rsidRPr="007971BD">
        <w:rPr>
          <w:rFonts w:ascii="Sylfaen" w:hAnsi="Sylfaen" w:cs="Sylfaen"/>
          <w:sz w:val="24"/>
          <w:szCs w:val="24"/>
          <w:lang w:val="ka-GE"/>
        </w:rPr>
        <w:t xml:space="preserve"> </w:t>
      </w:r>
    </w:p>
    <w:p w14:paraId="502DF6A6" w14:textId="3CC4BEFB" w:rsidR="007025B6" w:rsidRPr="002A445F" w:rsidRDefault="000A4E6F"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ვფიქრობ, ჯეროვ</w:t>
      </w:r>
      <w:r w:rsidR="00705EEA">
        <w:rPr>
          <w:rFonts w:ascii="Sylfaen" w:hAnsi="Sylfaen" w:cs="Sylfaen"/>
          <w:sz w:val="24"/>
          <w:szCs w:val="24"/>
          <w:lang w:val="ka-GE"/>
        </w:rPr>
        <w:t>ა</w:t>
      </w:r>
      <w:r w:rsidRPr="007971BD">
        <w:rPr>
          <w:rFonts w:ascii="Sylfaen" w:hAnsi="Sylfaen" w:cs="Sylfaen"/>
          <w:sz w:val="24"/>
          <w:szCs w:val="24"/>
          <w:lang w:val="ka-GE"/>
        </w:rPr>
        <w:t>ნ ყურადღებას იმსახურებდა ასაკთან დაკავშირებული თანამედროვე რეალიებიც, რომელიც არსებითად განსხვავდება</w:t>
      </w:r>
      <w:r w:rsidR="002B0659" w:rsidRPr="007971BD">
        <w:rPr>
          <w:rFonts w:ascii="Sylfaen" w:hAnsi="Sylfaen" w:cs="Sylfaen"/>
          <w:sz w:val="24"/>
          <w:szCs w:val="24"/>
          <w:lang w:val="ka-GE"/>
        </w:rPr>
        <w:t xml:space="preserve"> </w:t>
      </w:r>
      <w:r w:rsidRPr="007971BD">
        <w:rPr>
          <w:rFonts w:ascii="Sylfaen" w:hAnsi="Sylfaen" w:cs="Sylfaen"/>
          <w:sz w:val="24"/>
          <w:szCs w:val="24"/>
          <w:lang w:val="ka-GE"/>
        </w:rPr>
        <w:t xml:space="preserve">რამდენიმე ათეული წლის წინ არსებული რეალიებისაგან. </w:t>
      </w:r>
      <w:r w:rsidR="002B0659" w:rsidRPr="007971BD">
        <w:rPr>
          <w:rFonts w:ascii="Sylfaen" w:hAnsi="Sylfaen" w:cs="Sylfaen"/>
          <w:sz w:val="24"/>
          <w:szCs w:val="24"/>
          <w:lang w:val="ka-GE"/>
        </w:rPr>
        <w:t>ასაკი, როგორც ეს სპეციალისტმაც განუმარტა სასამართლოს, მართლაც ფარდობითი ცნებაა და თანამედროვე ეპოქაში სიცოცხლის ხანგრძლივობის გაზრდის, ცხოვრების წესის, ჯანმრთელობის დაცვის სფეროში არსებული მიღწევებისა და სხვა ფაქტორების გავლენით, რადიკალურად არის შეცვლილი მოხუცებულობის ასაკის აღქმა და მასთან დაკავშირებული   სტერეოტიპები.</w:t>
      </w:r>
      <w:r w:rsidR="007052E9" w:rsidRPr="007971BD">
        <w:rPr>
          <w:rFonts w:ascii="Sylfaen" w:hAnsi="Sylfaen" w:cs="Sylfaen"/>
          <w:sz w:val="24"/>
          <w:szCs w:val="24"/>
        </w:rPr>
        <w:t xml:space="preserve"> </w:t>
      </w:r>
      <w:r w:rsidR="007052E9" w:rsidRPr="007971BD">
        <w:rPr>
          <w:rFonts w:ascii="Sylfaen" w:hAnsi="Sylfaen" w:cs="Sylfaen"/>
          <w:sz w:val="24"/>
          <w:szCs w:val="24"/>
          <w:lang w:val="ka-GE"/>
        </w:rPr>
        <w:t xml:space="preserve">ამ რეალიების ცვალებადობასთან ერთად, შეიმჩნევა სავალდებულო   საპენსიო ასაკის გაზრდის ტენდენციაც. მაგალითად, 2021 წელს, გაერთიანებულ სამეფოში 70 წლიდან 75 წლამდე აიწია ამ ზღვარმა და გადაწყდა, რომ მოსამართლეებს, მაგისტრატებსა და კორონერებს შეეძლებათ სამსახურში დარჩნენ 75 წლის ასაკის მიღწევამდე. მთავრობამ განმარტა, რომ არ სურდა, ფასეული მოსამართლეების დაკარგვა და ამიტომ მოქნილი მექანიზმები შესთავაზა იმ მოსამართლეებს, ვისაც არ სურდა სამსახურიდან წასვლა 70 წლის ასაკში. </w:t>
      </w:r>
      <w:r w:rsidR="002D5AF6" w:rsidRPr="007971BD">
        <w:rPr>
          <w:rFonts w:ascii="Sylfaen" w:hAnsi="Sylfaen" w:cs="Sylfaen"/>
          <w:sz w:val="24"/>
          <w:szCs w:val="24"/>
          <w:lang w:val="ka-GE"/>
        </w:rPr>
        <w:t xml:space="preserve">ვფიქრობ, </w:t>
      </w:r>
      <w:r w:rsidR="00C2094C" w:rsidRPr="007971BD">
        <w:rPr>
          <w:rFonts w:ascii="Sylfaen" w:hAnsi="Sylfaen" w:cs="Sylfaen"/>
          <w:sz w:val="24"/>
          <w:szCs w:val="24"/>
          <w:lang w:val="ka-GE"/>
        </w:rPr>
        <w:t>ზემოაღნიშნული</w:t>
      </w:r>
      <w:r w:rsidR="002D5AF6" w:rsidRPr="007971BD">
        <w:rPr>
          <w:rFonts w:ascii="Sylfaen" w:hAnsi="Sylfaen" w:cs="Sylfaen"/>
          <w:sz w:val="24"/>
          <w:szCs w:val="24"/>
          <w:lang w:val="ka-GE"/>
        </w:rPr>
        <w:t xml:space="preserve"> თანამედროვე რეალიები და ტე</w:t>
      </w:r>
      <w:r w:rsidR="00C2094C" w:rsidRPr="007971BD">
        <w:rPr>
          <w:rFonts w:ascii="Sylfaen" w:hAnsi="Sylfaen" w:cs="Sylfaen"/>
          <w:sz w:val="24"/>
          <w:szCs w:val="24"/>
          <w:lang w:val="ka-GE"/>
        </w:rPr>
        <w:t xml:space="preserve">ნდენციები ნამდვილად იყო ის სააზროვნო მასალა, რასაც მონაწილეობა უნდა მიეღო  </w:t>
      </w:r>
      <w:r w:rsidR="002D5AF6" w:rsidRPr="007971BD">
        <w:rPr>
          <w:rFonts w:ascii="Sylfaen" w:hAnsi="Sylfaen" w:cs="Sylfaen"/>
          <w:sz w:val="24"/>
          <w:szCs w:val="24"/>
          <w:lang w:val="ka-GE"/>
        </w:rPr>
        <w:t xml:space="preserve">დაწესებული </w:t>
      </w:r>
      <w:r w:rsidR="00C2094C" w:rsidRPr="007971BD">
        <w:rPr>
          <w:rFonts w:ascii="Sylfaen" w:hAnsi="Sylfaen" w:cs="Sylfaen"/>
          <w:sz w:val="24"/>
          <w:szCs w:val="24"/>
          <w:lang w:val="ka-GE"/>
        </w:rPr>
        <w:t xml:space="preserve">საპენსიო </w:t>
      </w:r>
      <w:r w:rsidR="002D5AF6" w:rsidRPr="007971BD">
        <w:rPr>
          <w:rFonts w:ascii="Sylfaen" w:hAnsi="Sylfaen" w:cs="Sylfaen"/>
          <w:sz w:val="24"/>
          <w:szCs w:val="24"/>
          <w:lang w:val="ka-GE"/>
        </w:rPr>
        <w:t>ასაკობრივი ბარიერის</w:t>
      </w:r>
      <w:r w:rsidR="00C2094C" w:rsidRPr="007971BD">
        <w:rPr>
          <w:rFonts w:ascii="Sylfaen" w:hAnsi="Sylfaen" w:cs="Sylfaen"/>
          <w:sz w:val="24"/>
          <w:szCs w:val="24"/>
          <w:lang w:val="ka-GE"/>
        </w:rPr>
        <w:t xml:space="preserve"> გონივრულობის შეფასებისას.  </w:t>
      </w:r>
    </w:p>
    <w:p w14:paraId="62DF6FFC" w14:textId="5CA34ED2" w:rsidR="002A445F" w:rsidRDefault="002A445F"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p>
    <w:p w14:paraId="0013B997" w14:textId="77777777" w:rsidR="002A445F" w:rsidRPr="002A445F" w:rsidRDefault="002A445F"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p>
    <w:p w14:paraId="0180EDCD" w14:textId="77777777" w:rsidR="007025B6" w:rsidRPr="007971BD" w:rsidRDefault="007025B6" w:rsidP="007847FD">
      <w:pPr>
        <w:pStyle w:val="ListParagraph"/>
        <w:pBdr>
          <w:top w:val="nil"/>
          <w:left w:val="nil"/>
          <w:bottom w:val="nil"/>
          <w:right w:val="nil"/>
          <w:between w:val="nil"/>
        </w:pBdr>
        <w:spacing w:after="0" w:line="276" w:lineRule="auto"/>
        <w:ind w:left="0" w:firstLine="284"/>
        <w:jc w:val="both"/>
        <w:rPr>
          <w:rFonts w:ascii="Sylfaen" w:hAnsi="Sylfaen" w:cs="Sylfaen"/>
          <w:sz w:val="24"/>
          <w:szCs w:val="24"/>
          <w:lang w:val="ka-GE"/>
        </w:rPr>
      </w:pPr>
    </w:p>
    <w:p w14:paraId="0DAADB17" w14:textId="304437BC" w:rsidR="007025B6" w:rsidRDefault="007025B6" w:rsidP="007847FD">
      <w:pPr>
        <w:pStyle w:val="Heading2"/>
        <w:numPr>
          <w:ilvl w:val="0"/>
          <w:numId w:val="7"/>
        </w:numPr>
        <w:ind w:left="0" w:firstLine="284"/>
        <w:jc w:val="both"/>
        <w:rPr>
          <w:rFonts w:ascii="Sylfaen" w:hAnsi="Sylfaen"/>
          <w:b/>
          <w:color w:val="auto"/>
          <w:sz w:val="24"/>
          <w:szCs w:val="24"/>
          <w:lang w:val="ka-GE"/>
        </w:rPr>
      </w:pPr>
      <w:r w:rsidRPr="007971BD">
        <w:rPr>
          <w:rFonts w:ascii="Sylfaen" w:hAnsi="Sylfaen"/>
          <w:b/>
          <w:color w:val="auto"/>
          <w:sz w:val="24"/>
          <w:szCs w:val="24"/>
          <w:lang w:val="ka-GE"/>
        </w:rPr>
        <w:lastRenderedPageBreak/>
        <w:t>შიდა ფართო ინტერიერის და უცხოური ექსტერიერის გაუთვალისწინებლობა</w:t>
      </w:r>
    </w:p>
    <w:p w14:paraId="5087E3AB" w14:textId="77777777" w:rsidR="00705EEA" w:rsidRPr="00705EEA" w:rsidRDefault="00705EEA" w:rsidP="007847FD">
      <w:pPr>
        <w:ind w:firstLine="284"/>
        <w:jc w:val="both"/>
        <w:rPr>
          <w:lang w:val="ka-GE"/>
        </w:rPr>
      </w:pPr>
    </w:p>
    <w:p w14:paraId="13A6BB08" w14:textId="77777777" w:rsidR="007025B6" w:rsidRPr="007971BD" w:rsidRDefault="007025B6" w:rsidP="007847FD">
      <w:pPr>
        <w:pStyle w:val="Heading3"/>
        <w:spacing w:before="0"/>
        <w:ind w:firstLine="284"/>
        <w:jc w:val="both"/>
        <w:rPr>
          <w:rFonts w:ascii="Sylfaen" w:hAnsi="Sylfaen"/>
          <w:b/>
          <w:bCs/>
          <w:color w:val="auto"/>
          <w:lang w:val="ka-GE"/>
        </w:rPr>
      </w:pPr>
      <w:r w:rsidRPr="007971BD">
        <w:rPr>
          <w:rFonts w:ascii="Sylfaen" w:hAnsi="Sylfaen"/>
          <w:b/>
          <w:bCs/>
          <w:color w:val="auto"/>
          <w:lang w:val="ka-GE"/>
        </w:rPr>
        <w:t>ა) საჯარო სამსახურში დასაქმებულებთან მიმართება</w:t>
      </w:r>
    </w:p>
    <w:p w14:paraId="1DF4D9F8" w14:textId="77777777" w:rsidR="007025B6" w:rsidRPr="00705EEA" w:rsidRDefault="007025B6" w:rsidP="007847FD">
      <w:pPr>
        <w:pBdr>
          <w:top w:val="nil"/>
          <w:left w:val="nil"/>
          <w:bottom w:val="nil"/>
          <w:right w:val="nil"/>
          <w:between w:val="nil"/>
        </w:pBdr>
        <w:spacing w:after="0" w:line="276" w:lineRule="auto"/>
        <w:ind w:firstLine="284"/>
        <w:jc w:val="both"/>
        <w:rPr>
          <w:rFonts w:ascii="Sylfaen" w:eastAsia="Merriweather" w:hAnsi="Sylfaen" w:cs="Merriweather"/>
          <w:b/>
          <w:bCs/>
          <w:sz w:val="24"/>
          <w:szCs w:val="24"/>
          <w:lang w:val="ka-GE"/>
        </w:rPr>
      </w:pPr>
    </w:p>
    <w:p w14:paraId="4B89CBBC" w14:textId="123E12FF" w:rsidR="00A24AC1" w:rsidRPr="007971BD" w:rsidRDefault="000A4E6F"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ცნობილია, რომ</w:t>
      </w:r>
      <w:r w:rsidR="00EC383E" w:rsidRPr="007971BD">
        <w:rPr>
          <w:rFonts w:ascii="Sylfaen" w:hAnsi="Sylfaen" w:cs="Sylfaen"/>
          <w:sz w:val="24"/>
          <w:szCs w:val="24"/>
          <w:lang w:val="ka-GE"/>
        </w:rPr>
        <w:t xml:space="preserve"> 2015 წლიდან</w:t>
      </w:r>
      <w:r w:rsidRPr="007971BD">
        <w:rPr>
          <w:rFonts w:ascii="Sylfaen" w:hAnsi="Sylfaen" w:cs="Sylfaen"/>
          <w:sz w:val="24"/>
          <w:szCs w:val="24"/>
          <w:lang w:val="ka-GE"/>
        </w:rPr>
        <w:t xml:space="preserve"> საქართველოში, საჯარო სამსახურში</w:t>
      </w:r>
      <w:r w:rsidR="00EC383E" w:rsidRPr="007971BD">
        <w:rPr>
          <w:rFonts w:ascii="Sylfaen" w:hAnsi="Sylfaen" w:cs="Sylfaen"/>
          <w:sz w:val="24"/>
          <w:szCs w:val="24"/>
          <w:lang w:val="ka-GE"/>
        </w:rPr>
        <w:t xml:space="preserve"> დასაქმებული პირის მიერ</w:t>
      </w:r>
      <w:r w:rsidRPr="007971BD">
        <w:rPr>
          <w:rFonts w:ascii="Sylfaen" w:hAnsi="Sylfaen" w:cs="Sylfaen"/>
          <w:sz w:val="24"/>
          <w:szCs w:val="24"/>
          <w:lang w:val="ka-GE"/>
        </w:rPr>
        <w:t xml:space="preserve"> საპენსიო ასაკის მიღწევა აღარ წარმო</w:t>
      </w:r>
      <w:r w:rsidR="001C00D5">
        <w:rPr>
          <w:rFonts w:ascii="Sylfaen" w:hAnsi="Sylfaen" w:cs="Sylfaen"/>
          <w:sz w:val="24"/>
          <w:szCs w:val="24"/>
          <w:lang w:val="ka-GE"/>
        </w:rPr>
        <w:t>ა</w:t>
      </w:r>
      <w:r w:rsidRPr="007971BD">
        <w:rPr>
          <w:rFonts w:ascii="Sylfaen" w:hAnsi="Sylfaen" w:cs="Sylfaen"/>
          <w:sz w:val="24"/>
          <w:szCs w:val="24"/>
          <w:lang w:val="ka-GE"/>
        </w:rPr>
        <w:t>დგენს სამსახურიდან გათავისუფლების საფუძველს.</w:t>
      </w:r>
      <w:r w:rsidR="00EC383E" w:rsidRPr="007971BD">
        <w:rPr>
          <w:rStyle w:val="FootnoteReference"/>
          <w:rFonts w:ascii="Sylfaen" w:hAnsi="Sylfaen" w:cs="Sylfaen"/>
          <w:sz w:val="24"/>
          <w:szCs w:val="24"/>
          <w:lang w:val="ka-GE"/>
        </w:rPr>
        <w:footnoteReference w:id="4"/>
      </w:r>
      <w:r w:rsidRPr="007971BD">
        <w:rPr>
          <w:rFonts w:ascii="Sylfaen" w:hAnsi="Sylfaen" w:cs="Sylfaen"/>
          <w:sz w:val="24"/>
          <w:szCs w:val="24"/>
          <w:lang w:val="ka-GE"/>
        </w:rPr>
        <w:t xml:space="preserve">  </w:t>
      </w:r>
      <w:r w:rsidR="00847C5B" w:rsidRPr="007971BD">
        <w:rPr>
          <w:rFonts w:ascii="Sylfaen" w:hAnsi="Sylfaen"/>
          <w:sz w:val="24"/>
          <w:szCs w:val="24"/>
          <w:lang w:val="ka-GE"/>
        </w:rPr>
        <w:t>„საჯარო სამსახურის შესახებ“  2015 წლის 27 ოქტომბერს საქართველოს პარლამენტის მიერ მიღებულ</w:t>
      </w:r>
      <w:r w:rsidR="007025B6" w:rsidRPr="007971BD">
        <w:rPr>
          <w:rFonts w:ascii="Sylfaen" w:hAnsi="Sylfaen"/>
          <w:sz w:val="24"/>
          <w:szCs w:val="24"/>
          <w:lang w:val="ka-GE"/>
        </w:rPr>
        <w:t>ი</w:t>
      </w:r>
      <w:r w:rsidR="00847C5B" w:rsidRPr="007971BD">
        <w:rPr>
          <w:rFonts w:ascii="Sylfaen" w:hAnsi="Sylfaen"/>
          <w:sz w:val="24"/>
          <w:szCs w:val="24"/>
          <w:lang w:val="ka-GE"/>
        </w:rPr>
        <w:t xml:space="preserve"> კანონის საფუძველზე   ჩამოყალიბდა საქართველოს საჯარო სამსახურის ახალი მოდელი, რომლის ფარგლებშიც გაუქმდა </w:t>
      </w:r>
      <w:r w:rsidR="007343A5" w:rsidRPr="007971BD">
        <w:rPr>
          <w:rFonts w:ascii="Sylfaen" w:hAnsi="Sylfaen"/>
          <w:sz w:val="24"/>
          <w:szCs w:val="24"/>
          <w:lang w:val="ka-GE"/>
        </w:rPr>
        <w:t xml:space="preserve">საჯარო </w:t>
      </w:r>
      <w:r w:rsidR="00847C5B" w:rsidRPr="007971BD">
        <w:rPr>
          <w:rFonts w:ascii="Sylfaen" w:hAnsi="Sylfaen"/>
          <w:sz w:val="24"/>
          <w:szCs w:val="24"/>
          <w:lang w:val="ka-GE"/>
        </w:rPr>
        <w:t xml:space="preserve">სამსახურში </w:t>
      </w:r>
      <w:r w:rsidR="00705EEA">
        <w:rPr>
          <w:rFonts w:ascii="Sylfaen" w:hAnsi="Sylfaen"/>
          <w:sz w:val="24"/>
          <w:szCs w:val="24"/>
          <w:lang w:val="ka-GE"/>
        </w:rPr>
        <w:t xml:space="preserve">დაწესებული </w:t>
      </w:r>
      <w:r w:rsidR="00847C5B" w:rsidRPr="007971BD">
        <w:rPr>
          <w:rFonts w:ascii="Sylfaen" w:hAnsi="Sylfaen"/>
          <w:sz w:val="24"/>
          <w:szCs w:val="24"/>
          <w:lang w:val="ka-GE"/>
        </w:rPr>
        <w:t>ყოფნის ზღვრული ასაკი</w:t>
      </w:r>
      <w:r w:rsidR="007343A5" w:rsidRPr="007971BD">
        <w:rPr>
          <w:rFonts w:ascii="Sylfaen" w:hAnsi="Sylfaen"/>
          <w:sz w:val="24"/>
          <w:szCs w:val="24"/>
          <w:lang w:val="ka-GE"/>
        </w:rPr>
        <w:t xml:space="preserve"> ქალების</w:t>
      </w:r>
      <w:r w:rsidR="008D0472">
        <w:rPr>
          <w:rFonts w:ascii="Sylfaen" w:hAnsi="Sylfaen"/>
          <w:sz w:val="24"/>
          <w:szCs w:val="24"/>
          <w:lang w:val="ka-GE"/>
        </w:rPr>
        <w:t>თვის</w:t>
      </w:r>
      <w:r w:rsidR="007343A5" w:rsidRPr="007971BD">
        <w:rPr>
          <w:rFonts w:ascii="Sylfaen" w:hAnsi="Sylfaen"/>
          <w:sz w:val="24"/>
          <w:szCs w:val="24"/>
          <w:lang w:val="ka-GE"/>
        </w:rPr>
        <w:t xml:space="preserve"> (60</w:t>
      </w:r>
      <w:r w:rsidR="007025B6" w:rsidRPr="007971BD">
        <w:rPr>
          <w:rFonts w:ascii="Sylfaen" w:hAnsi="Sylfaen"/>
          <w:sz w:val="24"/>
          <w:szCs w:val="24"/>
          <w:lang w:val="ka-GE"/>
        </w:rPr>
        <w:t xml:space="preserve"> </w:t>
      </w:r>
      <w:r w:rsidR="007343A5" w:rsidRPr="007971BD">
        <w:rPr>
          <w:rFonts w:ascii="Sylfaen" w:hAnsi="Sylfaen"/>
          <w:sz w:val="24"/>
          <w:szCs w:val="24"/>
          <w:lang w:val="ka-GE"/>
        </w:rPr>
        <w:t>წ</w:t>
      </w:r>
      <w:r w:rsidR="007025B6" w:rsidRPr="007971BD">
        <w:rPr>
          <w:rFonts w:ascii="Sylfaen" w:hAnsi="Sylfaen"/>
          <w:sz w:val="24"/>
          <w:szCs w:val="24"/>
          <w:lang w:val="ka-GE"/>
        </w:rPr>
        <w:t>ელი</w:t>
      </w:r>
      <w:r w:rsidR="007343A5" w:rsidRPr="007971BD">
        <w:rPr>
          <w:rFonts w:ascii="Sylfaen" w:hAnsi="Sylfaen"/>
          <w:sz w:val="24"/>
          <w:szCs w:val="24"/>
          <w:lang w:val="ka-GE"/>
        </w:rPr>
        <w:t>) და მამაკაცებისათვის (65</w:t>
      </w:r>
      <w:r w:rsidR="007025B6" w:rsidRPr="007971BD">
        <w:rPr>
          <w:rFonts w:ascii="Sylfaen" w:hAnsi="Sylfaen"/>
          <w:sz w:val="24"/>
          <w:szCs w:val="24"/>
          <w:lang w:val="ka-GE"/>
        </w:rPr>
        <w:t xml:space="preserve"> წელი</w:t>
      </w:r>
      <w:r w:rsidR="007343A5" w:rsidRPr="007971BD">
        <w:rPr>
          <w:rFonts w:ascii="Sylfaen" w:hAnsi="Sylfaen"/>
          <w:sz w:val="24"/>
          <w:szCs w:val="24"/>
          <w:lang w:val="ka-GE"/>
        </w:rPr>
        <w:t xml:space="preserve">). აღნიშნულ კანონს საფუძვლად დაედო სავსებით გონივრული მოსაზრებები, რომ ადამიანის სამსახურში ყოფნა  </w:t>
      </w:r>
      <w:r w:rsidR="007343A5" w:rsidRPr="002A445F">
        <w:rPr>
          <w:rFonts w:ascii="Sylfaen" w:hAnsi="Sylfaen"/>
          <w:sz w:val="24"/>
          <w:szCs w:val="24"/>
          <w:lang w:val="ka-GE"/>
        </w:rPr>
        <w:t>უნდა განისაზღვრებოდეს მისი კომპეტენციის, გამოცდილების, ცოდნის და შრომისუნარიანობის და არა ასაკის მიხედვით.</w:t>
      </w:r>
      <w:r w:rsidR="007343A5" w:rsidRPr="002A445F">
        <w:rPr>
          <w:rFonts w:ascii="Sylfaen" w:hAnsi="Sylfaen"/>
          <w:sz w:val="24"/>
          <w:szCs w:val="24"/>
        </w:rPr>
        <w:t xml:space="preserve"> </w:t>
      </w:r>
      <w:r w:rsidR="007343A5" w:rsidRPr="002A445F">
        <w:rPr>
          <w:rFonts w:ascii="Sylfaen" w:hAnsi="Sylfaen"/>
          <w:sz w:val="24"/>
          <w:szCs w:val="24"/>
          <w:lang w:val="ka-GE"/>
        </w:rPr>
        <w:t xml:space="preserve">კანონპროექტის განმარტებით ბარათში მითითებული იყო, რომ კანონპროექტის მიზანს წარმოადგენდა საჭიროების შემთხვევაში </w:t>
      </w:r>
      <w:r w:rsidR="009E4981" w:rsidRPr="002A445F">
        <w:rPr>
          <w:rFonts w:ascii="Sylfaen" w:hAnsi="Sylfaen"/>
          <w:sz w:val="24"/>
          <w:szCs w:val="24"/>
          <w:lang w:val="ka-GE"/>
        </w:rPr>
        <w:t>„</w:t>
      </w:r>
      <w:r w:rsidR="007343A5" w:rsidRPr="002A445F">
        <w:rPr>
          <w:rFonts w:ascii="Sylfaen" w:hAnsi="Sylfaen"/>
          <w:b/>
          <w:sz w:val="24"/>
          <w:szCs w:val="24"/>
          <w:lang w:val="ka-GE"/>
        </w:rPr>
        <w:t xml:space="preserve">საპენსიო ასაკში მყოფი პროფესიონალი პირების საჯარო სამსახურში </w:t>
      </w:r>
      <w:r w:rsidR="00BF799D" w:rsidRPr="002A445F">
        <w:rPr>
          <w:rFonts w:ascii="Sylfaen" w:hAnsi="Sylfaen"/>
          <w:b/>
          <w:sz w:val="24"/>
          <w:szCs w:val="24"/>
          <w:lang w:val="ka-GE"/>
        </w:rPr>
        <w:t>მიღები</w:t>
      </w:r>
      <w:r w:rsidR="007343A5" w:rsidRPr="002A445F">
        <w:rPr>
          <w:rFonts w:ascii="Sylfaen" w:hAnsi="Sylfaen"/>
          <w:b/>
          <w:sz w:val="24"/>
          <w:szCs w:val="24"/>
          <w:lang w:val="ka-GE"/>
        </w:rPr>
        <w:t>ს და მათი გამოცდილების გამოყენების ხელშეწყობა</w:t>
      </w:r>
      <w:r w:rsidR="009E4981" w:rsidRPr="002A445F">
        <w:rPr>
          <w:rFonts w:ascii="Sylfaen" w:hAnsi="Sylfaen"/>
          <w:b/>
          <w:sz w:val="24"/>
          <w:szCs w:val="24"/>
          <w:lang w:val="ka-GE"/>
        </w:rPr>
        <w:t>“</w:t>
      </w:r>
      <w:r w:rsidR="007343A5" w:rsidRPr="002A445F">
        <w:rPr>
          <w:rFonts w:ascii="Sylfaen" w:hAnsi="Sylfaen"/>
          <w:b/>
          <w:sz w:val="24"/>
          <w:szCs w:val="24"/>
          <w:lang w:val="ka-GE"/>
        </w:rPr>
        <w:t xml:space="preserve"> </w:t>
      </w:r>
      <w:r w:rsidR="007343A5" w:rsidRPr="002A445F">
        <w:rPr>
          <w:rFonts w:ascii="Sylfaen" w:hAnsi="Sylfaen"/>
          <w:sz w:val="24"/>
          <w:szCs w:val="24"/>
          <w:lang w:val="ka-GE"/>
        </w:rPr>
        <w:t>(ხაზგასმა ჩემია). ვფიქრობ, საპენსიო ასაკში მყოფი პროფესიონალი პირების გამოცდილების გამოყენება მნიშვნელოვანი ლეგიტიმური მიზანია, და ამასთან, ორმხრივად სასარგებლო, როგორც საპენსიო</w:t>
      </w:r>
      <w:r w:rsidR="007343A5" w:rsidRPr="007971BD">
        <w:rPr>
          <w:rFonts w:ascii="Sylfaen" w:hAnsi="Sylfaen"/>
          <w:sz w:val="24"/>
          <w:szCs w:val="24"/>
          <w:lang w:val="ka-GE"/>
        </w:rPr>
        <w:t xml:space="preserve"> ასაკში მყოფი პირების, ისე საზოგადოებისათვის. ვფიქრობ,</w:t>
      </w:r>
      <w:r w:rsidR="007025B6" w:rsidRPr="007971BD">
        <w:rPr>
          <w:rFonts w:ascii="Sylfaen" w:hAnsi="Sylfaen"/>
          <w:sz w:val="24"/>
          <w:szCs w:val="24"/>
          <w:lang w:val="ka-GE"/>
        </w:rPr>
        <w:t xml:space="preserve"> </w:t>
      </w:r>
      <w:r w:rsidR="007343A5" w:rsidRPr="007971BD">
        <w:rPr>
          <w:rFonts w:ascii="Sylfaen" w:hAnsi="Sylfaen"/>
          <w:sz w:val="24"/>
          <w:szCs w:val="24"/>
          <w:lang w:val="ka-GE"/>
        </w:rPr>
        <w:t>სასამართლოს გამოკვეთილად უნდა დაესაბუთებინა, თუ მოსამართლეების შ</w:t>
      </w:r>
      <w:r w:rsidR="00661ED0" w:rsidRPr="007971BD">
        <w:rPr>
          <w:rFonts w:ascii="Sylfaen" w:hAnsi="Sylfaen"/>
          <w:sz w:val="24"/>
          <w:szCs w:val="24"/>
          <w:lang w:val="ka-GE"/>
        </w:rPr>
        <w:t>ე</w:t>
      </w:r>
      <w:r w:rsidR="007343A5" w:rsidRPr="007971BD">
        <w:rPr>
          <w:rFonts w:ascii="Sylfaen" w:hAnsi="Sylfaen"/>
          <w:sz w:val="24"/>
          <w:szCs w:val="24"/>
          <w:lang w:val="ka-GE"/>
        </w:rPr>
        <w:t>მთხვევაში</w:t>
      </w:r>
      <w:r w:rsidR="007343A5" w:rsidRPr="007971BD">
        <w:rPr>
          <w:rFonts w:ascii="Sylfaen" w:hAnsi="Sylfaen"/>
          <w:b/>
          <w:sz w:val="24"/>
          <w:szCs w:val="24"/>
          <w:lang w:val="ka-GE"/>
        </w:rPr>
        <w:t xml:space="preserve"> </w:t>
      </w:r>
      <w:r w:rsidR="00661ED0" w:rsidRPr="007971BD">
        <w:rPr>
          <w:rFonts w:ascii="Sylfaen" w:hAnsi="Sylfaen"/>
          <w:sz w:val="24"/>
          <w:szCs w:val="24"/>
          <w:lang w:val="ka-GE"/>
        </w:rPr>
        <w:t xml:space="preserve">საპენსიო ასაკში მყოფი პროფესიონალი პირების გამოცდილების გამოყენება რატომ </w:t>
      </w:r>
      <w:r w:rsidR="009E4981" w:rsidRPr="007971BD">
        <w:rPr>
          <w:rFonts w:ascii="Sylfaen" w:hAnsi="Sylfaen"/>
          <w:sz w:val="24"/>
          <w:szCs w:val="24"/>
          <w:lang w:val="ka-GE"/>
        </w:rPr>
        <w:t xml:space="preserve">იყო </w:t>
      </w:r>
      <w:r w:rsidR="00661ED0" w:rsidRPr="007971BD">
        <w:rPr>
          <w:rFonts w:ascii="Sylfaen" w:hAnsi="Sylfaen"/>
          <w:sz w:val="24"/>
          <w:szCs w:val="24"/>
          <w:lang w:val="ka-GE"/>
        </w:rPr>
        <w:t>ნაკლებადმნიშვნელოვანი,</w:t>
      </w:r>
      <w:r w:rsidR="009E4981" w:rsidRPr="007971BD">
        <w:rPr>
          <w:rFonts w:ascii="Sylfaen" w:hAnsi="Sylfaen"/>
          <w:sz w:val="24"/>
          <w:szCs w:val="24"/>
          <w:lang w:val="ka-GE"/>
        </w:rPr>
        <w:t xml:space="preserve"> თანაც იმდენად, რომ ა</w:t>
      </w:r>
      <w:r w:rsidR="00661ED0" w:rsidRPr="007971BD">
        <w:rPr>
          <w:rFonts w:ascii="Sylfaen" w:hAnsi="Sylfaen"/>
          <w:sz w:val="24"/>
          <w:szCs w:val="24"/>
          <w:lang w:val="ka-GE"/>
        </w:rPr>
        <w:t xml:space="preserve">რ უნდა ყოფილიყო მხედველობაში მიღებული დაპირისპირებულ ინტერესთა შორის სამართლიანი ბალანსის ძიებისას. </w:t>
      </w:r>
    </w:p>
    <w:p w14:paraId="2D40C7C2" w14:textId="39E8B829" w:rsidR="00A24AC1" w:rsidRPr="007971BD" w:rsidRDefault="009E4981"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sz w:val="24"/>
          <w:szCs w:val="24"/>
          <w:lang w:val="ka-GE"/>
        </w:rPr>
        <w:t>სავალდებულო საპენსიო ასაკთან მიმართებ</w:t>
      </w:r>
      <w:r w:rsidR="00A24AC1" w:rsidRPr="007971BD">
        <w:rPr>
          <w:rFonts w:ascii="Sylfaen" w:hAnsi="Sylfaen"/>
          <w:sz w:val="24"/>
          <w:szCs w:val="24"/>
          <w:lang w:val="ka-GE"/>
        </w:rPr>
        <w:t>ით</w:t>
      </w:r>
      <w:r w:rsidR="00661ED0" w:rsidRPr="007971BD">
        <w:rPr>
          <w:rFonts w:ascii="Sylfaen" w:hAnsi="Sylfaen"/>
          <w:sz w:val="24"/>
          <w:szCs w:val="24"/>
          <w:lang w:val="ka-GE"/>
        </w:rPr>
        <w:t xml:space="preserve"> საჯარო სამსახურში არსებული ვითარება „ნაწილისა“ და „მთელის“ კონტექსტის მიხედვითაც არის ყურადსაღები. </w:t>
      </w:r>
      <w:r w:rsidR="000A4E6F" w:rsidRPr="007971BD">
        <w:rPr>
          <w:rFonts w:ascii="Sylfaen" w:hAnsi="Sylfaen" w:cs="Sylfaen"/>
          <w:sz w:val="24"/>
          <w:szCs w:val="24"/>
          <w:lang w:val="ka-GE"/>
        </w:rPr>
        <w:t xml:space="preserve">სასამართლო სისტემა </w:t>
      </w:r>
      <w:r w:rsidR="00661ED0" w:rsidRPr="007971BD">
        <w:rPr>
          <w:rFonts w:ascii="Sylfaen" w:hAnsi="Sylfaen" w:cs="Sylfaen"/>
          <w:sz w:val="24"/>
          <w:szCs w:val="24"/>
          <w:lang w:val="ka-GE"/>
        </w:rPr>
        <w:t xml:space="preserve"> </w:t>
      </w:r>
      <w:r w:rsidR="000A4E6F" w:rsidRPr="007971BD">
        <w:rPr>
          <w:rFonts w:ascii="Sylfaen" w:hAnsi="Sylfaen" w:cs="Sylfaen"/>
          <w:sz w:val="24"/>
          <w:szCs w:val="24"/>
          <w:lang w:val="ka-GE"/>
        </w:rPr>
        <w:t>საჯარო სამსახურის ნაწილი</w:t>
      </w:r>
      <w:r w:rsidR="00661ED0" w:rsidRPr="007971BD">
        <w:rPr>
          <w:rFonts w:ascii="Sylfaen" w:hAnsi="Sylfaen" w:cs="Sylfaen"/>
          <w:sz w:val="24"/>
          <w:szCs w:val="24"/>
          <w:lang w:val="ka-GE"/>
        </w:rPr>
        <w:t>ა</w:t>
      </w:r>
      <w:r w:rsidR="000A4E6F" w:rsidRPr="007971BD">
        <w:rPr>
          <w:rFonts w:ascii="Sylfaen" w:hAnsi="Sylfaen" w:cs="Sylfaen"/>
          <w:sz w:val="24"/>
          <w:szCs w:val="24"/>
          <w:lang w:val="ka-GE"/>
        </w:rPr>
        <w:t xml:space="preserve">. შესაბამისად, გვაქვს </w:t>
      </w:r>
      <w:r w:rsidR="00C20785" w:rsidRPr="007971BD">
        <w:rPr>
          <w:rFonts w:ascii="Sylfaen" w:hAnsi="Sylfaen" w:cs="Sylfaen"/>
          <w:sz w:val="24"/>
          <w:szCs w:val="24"/>
          <w:lang w:val="ka-GE"/>
        </w:rPr>
        <w:t>„</w:t>
      </w:r>
      <w:r w:rsidR="007343A5" w:rsidRPr="007971BD">
        <w:rPr>
          <w:rFonts w:ascii="Sylfaen" w:hAnsi="Sylfaen" w:cs="Sylfaen"/>
          <w:sz w:val="24"/>
          <w:szCs w:val="24"/>
          <w:lang w:val="ka-GE"/>
        </w:rPr>
        <w:t>მთ</w:t>
      </w:r>
      <w:r w:rsidR="00C20785" w:rsidRPr="007971BD">
        <w:rPr>
          <w:rFonts w:ascii="Sylfaen" w:hAnsi="Sylfaen" w:cs="Sylfaen"/>
          <w:sz w:val="24"/>
          <w:szCs w:val="24"/>
          <w:lang w:val="ka-GE"/>
        </w:rPr>
        <w:t>ელისა“ და „ნაწილის“ ურთიერთმიმართება</w:t>
      </w:r>
      <w:r w:rsidRPr="007971BD">
        <w:rPr>
          <w:rFonts w:ascii="Sylfaen" w:hAnsi="Sylfaen" w:cs="Sylfaen"/>
          <w:sz w:val="24"/>
          <w:szCs w:val="24"/>
          <w:lang w:val="ka-GE"/>
        </w:rPr>
        <w:t>;</w:t>
      </w:r>
      <w:r w:rsidR="00C20785" w:rsidRPr="007971BD">
        <w:rPr>
          <w:rFonts w:ascii="Sylfaen" w:hAnsi="Sylfaen" w:cs="Sylfaen"/>
          <w:sz w:val="24"/>
          <w:szCs w:val="24"/>
          <w:lang w:val="ka-GE"/>
        </w:rPr>
        <w:t xml:space="preserve"> კერძოდ, მათთან მიმართებაში განსხვავებული მიდგომები: </w:t>
      </w:r>
      <w:r w:rsidR="000A4E6F" w:rsidRPr="007971BD">
        <w:rPr>
          <w:rFonts w:ascii="Sylfaen" w:hAnsi="Sylfaen" w:cs="Sylfaen"/>
          <w:sz w:val="24"/>
          <w:szCs w:val="24"/>
          <w:lang w:val="ka-GE"/>
        </w:rPr>
        <w:t>მოცემულობა, სადაც საჯარო სამსახურში 65 წლის ასაკის მიღწევა არ იწვევს სამსახურიდან წა</w:t>
      </w:r>
      <w:r w:rsidR="001C00D5">
        <w:rPr>
          <w:rFonts w:ascii="Sylfaen" w:hAnsi="Sylfaen" w:cs="Sylfaen"/>
          <w:sz w:val="24"/>
          <w:szCs w:val="24"/>
          <w:lang w:val="ka-GE"/>
        </w:rPr>
        <w:t>ს</w:t>
      </w:r>
      <w:r w:rsidR="000A4E6F" w:rsidRPr="007971BD">
        <w:rPr>
          <w:rFonts w:ascii="Sylfaen" w:hAnsi="Sylfaen" w:cs="Sylfaen"/>
          <w:sz w:val="24"/>
          <w:szCs w:val="24"/>
          <w:lang w:val="ka-GE"/>
        </w:rPr>
        <w:t xml:space="preserve">ვლას, ხოლო სასამართლო სისტემაში, რომელიც მისი ნაწილია - იწვევს. </w:t>
      </w:r>
      <w:r w:rsidR="00C20785" w:rsidRPr="007971BD">
        <w:rPr>
          <w:rFonts w:ascii="Sylfaen" w:hAnsi="Sylfaen" w:cs="Sylfaen"/>
          <w:sz w:val="24"/>
          <w:szCs w:val="24"/>
          <w:lang w:val="ka-GE"/>
        </w:rPr>
        <w:t xml:space="preserve">ამ კონტექსტის დაყენებით, სრულიადაც არ ვგულისხმობ იმას, რომ </w:t>
      </w:r>
      <w:r w:rsidR="00661ED0" w:rsidRPr="007971BD">
        <w:rPr>
          <w:rFonts w:ascii="Sylfaen" w:hAnsi="Sylfaen" w:cs="Sylfaen"/>
          <w:sz w:val="24"/>
          <w:szCs w:val="24"/>
          <w:lang w:val="ka-GE"/>
        </w:rPr>
        <w:t xml:space="preserve">მათ შორის ნებისმიერი </w:t>
      </w:r>
      <w:r w:rsidR="00661ED0" w:rsidRPr="007971BD">
        <w:rPr>
          <w:rFonts w:ascii="Sylfaen" w:hAnsi="Sylfaen" w:cs="Sylfaen"/>
          <w:sz w:val="24"/>
          <w:szCs w:val="24"/>
          <w:lang w:val="ka-GE"/>
        </w:rPr>
        <w:lastRenderedPageBreak/>
        <w:t xml:space="preserve">განსხვავების დაშვება უსწორო და მიუღებელია. ნამდვილად არსებობს ისეთი სფეროები </w:t>
      </w:r>
      <w:r w:rsidRPr="007971BD">
        <w:rPr>
          <w:rFonts w:ascii="Sylfaen" w:hAnsi="Sylfaen" w:cs="Sylfaen"/>
          <w:sz w:val="24"/>
          <w:szCs w:val="24"/>
          <w:lang w:val="ka-GE"/>
        </w:rPr>
        <w:t>საჯარ</w:t>
      </w:r>
      <w:r w:rsidR="00661ED0" w:rsidRPr="007971BD">
        <w:rPr>
          <w:rFonts w:ascii="Sylfaen" w:hAnsi="Sylfaen" w:cs="Sylfaen"/>
          <w:sz w:val="24"/>
          <w:szCs w:val="24"/>
          <w:lang w:val="ka-GE"/>
        </w:rPr>
        <w:t xml:space="preserve">ო სამსახურში, სადაც სამსახურის სპეციფიკა </w:t>
      </w:r>
      <w:r w:rsidRPr="007971BD">
        <w:rPr>
          <w:rFonts w:ascii="Sylfaen" w:hAnsi="Sylfaen" w:cs="Sylfaen"/>
          <w:sz w:val="24"/>
          <w:szCs w:val="24"/>
          <w:lang w:val="ka-GE"/>
        </w:rPr>
        <w:t xml:space="preserve">დასაქმებულთა </w:t>
      </w:r>
      <w:r w:rsidR="00661ED0" w:rsidRPr="007971BD">
        <w:rPr>
          <w:rFonts w:ascii="Sylfaen" w:hAnsi="Sylfaen" w:cs="Sylfaen"/>
          <w:sz w:val="24"/>
          <w:szCs w:val="24"/>
          <w:lang w:val="ka-GE"/>
        </w:rPr>
        <w:t xml:space="preserve">განსხვავებულ ფიზიკურ თუ გონებრივ მობილიზაციას მოითხოვს. მათთან მიმართებაში  უნდა იყოს და არის კიდევაც დაწესებული განსხვავებული საპენსიო ასაკი, მაგალითად, </w:t>
      </w:r>
      <w:r w:rsidR="00A832BC" w:rsidRPr="007971BD">
        <w:rPr>
          <w:rFonts w:ascii="Sylfaen" w:hAnsi="Sylfaen" w:cs="Sylfaen"/>
          <w:sz w:val="24"/>
          <w:szCs w:val="24"/>
          <w:lang w:val="ka-GE"/>
        </w:rPr>
        <w:t>პოლიციის/</w:t>
      </w:r>
      <w:r w:rsidR="00661ED0" w:rsidRPr="007971BD">
        <w:rPr>
          <w:rFonts w:ascii="Sylfaen" w:hAnsi="Sylfaen" w:cs="Sylfaen"/>
          <w:sz w:val="24"/>
          <w:szCs w:val="24"/>
          <w:lang w:val="ka-GE"/>
        </w:rPr>
        <w:t>შინაგან საქმეთა</w:t>
      </w:r>
      <w:r w:rsidR="00A832BC" w:rsidRPr="007971BD">
        <w:rPr>
          <w:rFonts w:ascii="Sylfaen" w:hAnsi="Sylfaen" w:cs="Sylfaen"/>
          <w:sz w:val="24"/>
          <w:szCs w:val="24"/>
          <w:lang w:val="ka-GE"/>
        </w:rPr>
        <w:t>, შეიარაღებულ ძალებში/</w:t>
      </w:r>
      <w:r w:rsidR="00661ED0" w:rsidRPr="007971BD">
        <w:rPr>
          <w:rFonts w:ascii="Sylfaen" w:hAnsi="Sylfaen" w:cs="Sylfaen"/>
          <w:sz w:val="24"/>
          <w:szCs w:val="24"/>
          <w:lang w:val="ka-GE"/>
        </w:rPr>
        <w:t>სამხედრო სფეროში დასაქმებულებისათვის</w:t>
      </w:r>
      <w:r w:rsidR="00A832BC" w:rsidRPr="007971BD">
        <w:rPr>
          <w:rFonts w:ascii="Sylfaen" w:hAnsi="Sylfaen" w:cs="Sylfaen"/>
          <w:sz w:val="24"/>
          <w:szCs w:val="24"/>
          <w:lang w:val="ka-GE"/>
        </w:rPr>
        <w:t xml:space="preserve">. არც იმას ვამტკიცებ, რომ რაკი </w:t>
      </w:r>
      <w:r w:rsidRPr="007971BD">
        <w:rPr>
          <w:rFonts w:ascii="Sylfaen" w:hAnsi="Sylfaen" w:cs="Sylfaen"/>
          <w:sz w:val="24"/>
          <w:szCs w:val="24"/>
          <w:lang w:val="ka-GE"/>
        </w:rPr>
        <w:t>საჯარ</w:t>
      </w:r>
      <w:r w:rsidR="00A832BC" w:rsidRPr="007971BD">
        <w:rPr>
          <w:rFonts w:ascii="Sylfaen" w:hAnsi="Sylfaen" w:cs="Sylfaen"/>
          <w:sz w:val="24"/>
          <w:szCs w:val="24"/>
          <w:lang w:val="ka-GE"/>
        </w:rPr>
        <w:t xml:space="preserve">ო სამსახურში საპენსიო ასაკის მიღწევა არ არის გათავისუფლების საფუძველი, ასევე უნდა </w:t>
      </w:r>
      <w:r w:rsidRPr="007971BD">
        <w:rPr>
          <w:rFonts w:ascii="Sylfaen" w:hAnsi="Sylfaen" w:cs="Sylfaen"/>
          <w:sz w:val="24"/>
          <w:szCs w:val="24"/>
          <w:lang w:val="ka-GE"/>
        </w:rPr>
        <w:t xml:space="preserve">ყოფილიყო </w:t>
      </w:r>
      <w:r w:rsidR="00A832BC" w:rsidRPr="007971BD">
        <w:rPr>
          <w:rFonts w:ascii="Sylfaen" w:hAnsi="Sylfaen" w:cs="Sylfaen"/>
          <w:sz w:val="24"/>
          <w:szCs w:val="24"/>
          <w:lang w:val="ka-GE"/>
        </w:rPr>
        <w:t>სასამართლო სისტემაშიც</w:t>
      </w:r>
      <w:r w:rsidR="006F74E7">
        <w:rPr>
          <w:rFonts w:ascii="Sylfaen" w:hAnsi="Sylfaen" w:cs="Sylfaen"/>
          <w:sz w:val="24"/>
          <w:szCs w:val="24"/>
          <w:lang w:val="ka-GE"/>
        </w:rPr>
        <w:t xml:space="preserve">. </w:t>
      </w:r>
      <w:r w:rsidR="00C20785" w:rsidRPr="007971BD">
        <w:rPr>
          <w:rFonts w:ascii="Sylfaen" w:hAnsi="Sylfaen" w:cs="Sylfaen"/>
          <w:sz w:val="24"/>
          <w:szCs w:val="24"/>
          <w:lang w:val="ka-GE"/>
        </w:rPr>
        <w:t xml:space="preserve">სრულიად დასაშვებია, რომ მიდგომები განსხვავებული იყოს და </w:t>
      </w:r>
      <w:r w:rsidRPr="007971BD">
        <w:rPr>
          <w:rFonts w:ascii="Sylfaen" w:hAnsi="Sylfaen" w:cs="Sylfaen"/>
          <w:sz w:val="24"/>
          <w:szCs w:val="24"/>
          <w:lang w:val="ka-GE"/>
        </w:rPr>
        <w:t>ამის კონსტიტუციასთან</w:t>
      </w:r>
      <w:r w:rsidR="00C20785" w:rsidRPr="007971BD">
        <w:rPr>
          <w:rFonts w:ascii="Sylfaen" w:hAnsi="Sylfaen" w:cs="Sylfaen"/>
          <w:sz w:val="24"/>
          <w:szCs w:val="24"/>
          <w:lang w:val="ka-GE"/>
        </w:rPr>
        <w:t xml:space="preserve"> </w:t>
      </w:r>
      <w:r w:rsidRPr="007971BD">
        <w:rPr>
          <w:rFonts w:ascii="Sylfaen" w:hAnsi="Sylfaen" w:cs="Sylfaen"/>
          <w:sz w:val="24"/>
          <w:szCs w:val="24"/>
          <w:lang w:val="ka-GE"/>
        </w:rPr>
        <w:t>თავსებადობაც ეჭვს არ იწვევდე</w:t>
      </w:r>
      <w:r w:rsidR="00C20785" w:rsidRPr="007971BD">
        <w:rPr>
          <w:rFonts w:ascii="Sylfaen" w:hAnsi="Sylfaen" w:cs="Sylfaen"/>
          <w:sz w:val="24"/>
          <w:szCs w:val="24"/>
          <w:lang w:val="ka-GE"/>
        </w:rPr>
        <w:t xml:space="preserve">ს. ჩემი კრიტიკა მხოლოდ იმას შეხება, რომ ეს კონტექსტი საერთოდ არ იყო სასამართლოს მიერ განხილული,  არადა, ჯობდა, ეს </w:t>
      </w:r>
      <w:r w:rsidRPr="007971BD">
        <w:rPr>
          <w:rFonts w:ascii="Sylfaen" w:hAnsi="Sylfaen" w:cs="Sylfaen"/>
          <w:sz w:val="24"/>
          <w:szCs w:val="24"/>
          <w:lang w:val="ka-GE"/>
        </w:rPr>
        <w:t xml:space="preserve">ურთიერთმიმართება და </w:t>
      </w:r>
      <w:r w:rsidR="00C20785" w:rsidRPr="007971BD">
        <w:rPr>
          <w:rFonts w:ascii="Sylfaen" w:hAnsi="Sylfaen" w:cs="Sylfaen"/>
          <w:sz w:val="24"/>
          <w:szCs w:val="24"/>
          <w:lang w:val="ka-GE"/>
        </w:rPr>
        <w:t>განსხვავებულობა ახსნილი და ნაპასუხე</w:t>
      </w:r>
      <w:r w:rsidR="00CA7226">
        <w:rPr>
          <w:rFonts w:ascii="Sylfaen" w:hAnsi="Sylfaen" w:cs="Sylfaen"/>
          <w:sz w:val="24"/>
          <w:szCs w:val="24"/>
          <w:lang w:val="ka-GE"/>
        </w:rPr>
        <w:t>ვ</w:t>
      </w:r>
      <w:r w:rsidR="00C20785" w:rsidRPr="007971BD">
        <w:rPr>
          <w:rFonts w:ascii="Sylfaen" w:hAnsi="Sylfaen" w:cs="Sylfaen"/>
          <w:sz w:val="24"/>
          <w:szCs w:val="24"/>
          <w:lang w:val="ka-GE"/>
        </w:rPr>
        <w:t xml:space="preserve">ი ყოფილიყო. </w:t>
      </w:r>
    </w:p>
    <w:p w14:paraId="03659B29" w14:textId="77777777" w:rsidR="00A24AC1" w:rsidRPr="007971BD" w:rsidRDefault="00A24AC1" w:rsidP="007847FD">
      <w:pPr>
        <w:pStyle w:val="ListParagraph"/>
        <w:pBdr>
          <w:top w:val="nil"/>
          <w:left w:val="nil"/>
          <w:bottom w:val="nil"/>
          <w:right w:val="nil"/>
          <w:between w:val="nil"/>
        </w:pBdr>
        <w:spacing w:after="0" w:line="276" w:lineRule="auto"/>
        <w:ind w:left="0" w:firstLine="284"/>
        <w:jc w:val="both"/>
        <w:rPr>
          <w:rFonts w:ascii="Sylfaen" w:hAnsi="Sylfaen" w:cs="Sylfaen"/>
          <w:sz w:val="24"/>
          <w:szCs w:val="24"/>
          <w:lang w:val="ka-GE"/>
        </w:rPr>
      </w:pPr>
    </w:p>
    <w:p w14:paraId="1853DFF5" w14:textId="77777777" w:rsidR="00A24AC1" w:rsidRPr="007971BD" w:rsidRDefault="00A24AC1" w:rsidP="007847FD">
      <w:pPr>
        <w:pStyle w:val="Heading3"/>
        <w:ind w:firstLine="284"/>
        <w:jc w:val="both"/>
        <w:rPr>
          <w:rFonts w:ascii="Sylfaen" w:hAnsi="Sylfaen"/>
          <w:b/>
          <w:bCs/>
          <w:color w:val="auto"/>
          <w:lang w:val="ka-GE"/>
        </w:rPr>
      </w:pPr>
      <w:r w:rsidRPr="007971BD">
        <w:rPr>
          <w:rFonts w:ascii="Sylfaen" w:hAnsi="Sylfaen"/>
          <w:b/>
          <w:bCs/>
          <w:color w:val="auto"/>
          <w:lang w:val="ka-GE"/>
        </w:rPr>
        <w:t>ბ) საკონსტიტუციო სასამართლოს მოსამართლეებთან მიმართება</w:t>
      </w:r>
    </w:p>
    <w:p w14:paraId="0DD0A4ED" w14:textId="77777777" w:rsidR="00A24AC1" w:rsidRPr="007971BD" w:rsidRDefault="00A24AC1" w:rsidP="007847FD">
      <w:pPr>
        <w:pStyle w:val="ListParagraph"/>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p>
    <w:p w14:paraId="7AF0232F" w14:textId="21ABE8E7" w:rsidR="00A24AC1" w:rsidRPr="002A445F" w:rsidRDefault="00C20785"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 xml:space="preserve">კიდევ უფრო მეტ უპასუხო კითხვებს აჩენს </w:t>
      </w:r>
      <w:r w:rsidR="006E5419" w:rsidRPr="007971BD">
        <w:rPr>
          <w:rFonts w:ascii="Sylfaen" w:hAnsi="Sylfaen" w:cs="Sylfaen"/>
          <w:sz w:val="24"/>
          <w:szCs w:val="24"/>
          <w:lang w:val="ka-GE"/>
        </w:rPr>
        <w:t xml:space="preserve">ეს </w:t>
      </w:r>
      <w:r w:rsidR="00A832BC" w:rsidRPr="007971BD">
        <w:rPr>
          <w:rFonts w:ascii="Sylfaen" w:hAnsi="Sylfaen" w:cs="Sylfaen"/>
          <w:sz w:val="24"/>
          <w:szCs w:val="24"/>
          <w:lang w:val="ka-GE"/>
        </w:rPr>
        <w:t>მეორე</w:t>
      </w:r>
      <w:r w:rsidRPr="007971BD">
        <w:rPr>
          <w:rFonts w:ascii="Sylfaen" w:hAnsi="Sylfaen" w:cs="Sylfaen"/>
          <w:sz w:val="24"/>
          <w:szCs w:val="24"/>
          <w:lang w:val="ka-GE"/>
        </w:rPr>
        <w:t xml:space="preserve"> კონტექსტი, კერძოდ, საკონსტიტუციო სასამართლო</w:t>
      </w:r>
      <w:r w:rsidR="006F74E7">
        <w:rPr>
          <w:rFonts w:ascii="Sylfaen" w:hAnsi="Sylfaen" w:cs="Sylfaen"/>
          <w:sz w:val="24"/>
          <w:szCs w:val="24"/>
          <w:lang w:val="ka-GE"/>
        </w:rPr>
        <w:t>ს</w:t>
      </w:r>
      <w:r w:rsidR="009E4981" w:rsidRPr="007971BD">
        <w:rPr>
          <w:rFonts w:ascii="Sylfaen" w:hAnsi="Sylfaen" w:cs="Sylfaen"/>
          <w:sz w:val="24"/>
          <w:szCs w:val="24"/>
          <w:lang w:val="ka-GE"/>
        </w:rPr>
        <w:t xml:space="preserve"> მოსამართლეებ</w:t>
      </w:r>
      <w:r w:rsidRPr="007971BD">
        <w:rPr>
          <w:rFonts w:ascii="Sylfaen" w:hAnsi="Sylfaen" w:cs="Sylfaen"/>
          <w:sz w:val="24"/>
          <w:szCs w:val="24"/>
          <w:lang w:val="ka-GE"/>
        </w:rPr>
        <w:t>თან მიმართება. აქ კავშირი</w:t>
      </w:r>
      <w:r w:rsidR="00A24AC1" w:rsidRPr="007971BD">
        <w:rPr>
          <w:rFonts w:ascii="Sylfaen" w:hAnsi="Sylfaen" w:cs="Sylfaen"/>
          <w:sz w:val="24"/>
          <w:szCs w:val="24"/>
          <w:lang w:val="ka-GE"/>
        </w:rPr>
        <w:t>სა</w:t>
      </w:r>
      <w:r w:rsidRPr="007971BD">
        <w:rPr>
          <w:rFonts w:ascii="Sylfaen" w:hAnsi="Sylfaen" w:cs="Sylfaen"/>
          <w:sz w:val="24"/>
          <w:szCs w:val="24"/>
          <w:lang w:val="ka-GE"/>
        </w:rPr>
        <w:t xml:space="preserve"> და მიდგომების ერთგვაროვნების მოლოდინი </w:t>
      </w:r>
      <w:r w:rsidR="00A832BC" w:rsidRPr="007971BD">
        <w:rPr>
          <w:rFonts w:ascii="Sylfaen" w:hAnsi="Sylfaen" w:cs="Sylfaen"/>
          <w:sz w:val="24"/>
          <w:szCs w:val="24"/>
          <w:lang w:val="ka-GE"/>
        </w:rPr>
        <w:t>გაცილებით</w:t>
      </w:r>
      <w:r w:rsidRPr="007971BD">
        <w:rPr>
          <w:rFonts w:ascii="Sylfaen" w:hAnsi="Sylfaen" w:cs="Sylfaen"/>
          <w:sz w:val="24"/>
          <w:szCs w:val="24"/>
          <w:lang w:val="ka-GE"/>
        </w:rPr>
        <w:t xml:space="preserve"> უფრო მეტია, ვიდრე ზემორე შემთხვევაში. კონსტიტუცია ადგენს მხოლოდ საკონსტიტუციო სასამართლოს მოსამ</w:t>
      </w:r>
      <w:r w:rsidR="00A24AC1" w:rsidRPr="007971BD">
        <w:rPr>
          <w:rFonts w:ascii="Sylfaen" w:hAnsi="Sylfaen" w:cs="Sylfaen"/>
          <w:sz w:val="24"/>
          <w:szCs w:val="24"/>
          <w:lang w:val="ka-GE"/>
        </w:rPr>
        <w:t>ა</w:t>
      </w:r>
      <w:r w:rsidRPr="007971BD">
        <w:rPr>
          <w:rFonts w:ascii="Sylfaen" w:hAnsi="Sylfaen" w:cs="Sylfaen"/>
          <w:sz w:val="24"/>
          <w:szCs w:val="24"/>
          <w:lang w:val="ka-GE"/>
        </w:rPr>
        <w:t>რთლედ</w:t>
      </w:r>
      <w:r w:rsidR="008139AE" w:rsidRPr="007971BD">
        <w:rPr>
          <w:rFonts w:ascii="Sylfaen" w:hAnsi="Sylfaen" w:cs="Sylfaen"/>
          <w:sz w:val="24"/>
          <w:szCs w:val="24"/>
          <w:lang w:val="ka-GE"/>
        </w:rPr>
        <w:t xml:space="preserve"> გა</w:t>
      </w:r>
      <w:r w:rsidR="00CA7226">
        <w:rPr>
          <w:rFonts w:ascii="Sylfaen" w:hAnsi="Sylfaen" w:cs="Sylfaen"/>
          <w:sz w:val="24"/>
          <w:szCs w:val="24"/>
          <w:lang w:val="ka-GE"/>
        </w:rPr>
        <w:t>ნ</w:t>
      </w:r>
      <w:r w:rsidR="008139AE" w:rsidRPr="007971BD">
        <w:rPr>
          <w:rFonts w:ascii="Sylfaen" w:hAnsi="Sylfaen" w:cs="Sylfaen"/>
          <w:sz w:val="24"/>
          <w:szCs w:val="24"/>
          <w:lang w:val="ka-GE"/>
        </w:rPr>
        <w:t>წესების ქვედა აუცილებელ ასაკობრივ ზღვარს (35 წ</w:t>
      </w:r>
      <w:r w:rsidR="00A24AC1" w:rsidRPr="007971BD">
        <w:rPr>
          <w:rFonts w:ascii="Sylfaen" w:hAnsi="Sylfaen" w:cs="Sylfaen"/>
          <w:sz w:val="24"/>
          <w:szCs w:val="24"/>
          <w:lang w:val="ka-GE"/>
        </w:rPr>
        <w:t>ელი</w:t>
      </w:r>
      <w:r w:rsidR="008139AE" w:rsidRPr="007971BD">
        <w:rPr>
          <w:rFonts w:ascii="Sylfaen" w:hAnsi="Sylfaen" w:cs="Sylfaen"/>
          <w:sz w:val="24"/>
          <w:szCs w:val="24"/>
          <w:lang w:val="ka-GE"/>
        </w:rPr>
        <w:t>), ხოლო ორგანული კანონი კი არ შეიცავს დებულებას, რომ 65 წლის ასაკს მიღ</w:t>
      </w:r>
      <w:r w:rsidR="009E4981" w:rsidRPr="007971BD">
        <w:rPr>
          <w:rFonts w:ascii="Sylfaen" w:hAnsi="Sylfaen" w:cs="Sylfaen"/>
          <w:sz w:val="24"/>
          <w:szCs w:val="24"/>
          <w:lang w:val="ka-GE"/>
        </w:rPr>
        <w:t>წეულ</w:t>
      </w:r>
      <w:r w:rsidR="008139AE" w:rsidRPr="007971BD">
        <w:rPr>
          <w:rFonts w:ascii="Sylfaen" w:hAnsi="Sylfaen" w:cs="Sylfaen"/>
          <w:sz w:val="24"/>
          <w:szCs w:val="24"/>
          <w:lang w:val="ka-GE"/>
        </w:rPr>
        <w:t xml:space="preserve"> მოსამართლეს უფლებამოსილება უნდა შეუწყდეს. მეტიც, კანონმდებლობა იმასაც უშვებს (რაკი არ გამორიცხავს), რომ </w:t>
      </w:r>
      <w:r w:rsidR="009863BF" w:rsidRPr="007971BD">
        <w:rPr>
          <w:rFonts w:ascii="Sylfaen" w:hAnsi="Sylfaen" w:cs="Sylfaen"/>
          <w:sz w:val="24"/>
          <w:szCs w:val="24"/>
          <w:lang w:val="ka-GE"/>
        </w:rPr>
        <w:t xml:space="preserve">არამარტო </w:t>
      </w:r>
      <w:r w:rsidR="008139AE" w:rsidRPr="007971BD">
        <w:rPr>
          <w:rFonts w:ascii="Sylfaen" w:hAnsi="Sylfaen" w:cs="Sylfaen"/>
          <w:sz w:val="24"/>
          <w:szCs w:val="24"/>
          <w:lang w:val="ka-GE"/>
        </w:rPr>
        <w:t xml:space="preserve"> 65</w:t>
      </w:r>
      <w:r w:rsidR="003E4501" w:rsidRPr="007971BD">
        <w:rPr>
          <w:rFonts w:ascii="Sylfaen" w:hAnsi="Sylfaen" w:cs="Sylfaen"/>
          <w:sz w:val="24"/>
          <w:szCs w:val="24"/>
          <w:lang w:val="ka-GE"/>
        </w:rPr>
        <w:t xml:space="preserve"> </w:t>
      </w:r>
      <w:r w:rsidR="009863BF" w:rsidRPr="007971BD">
        <w:rPr>
          <w:rFonts w:ascii="Sylfaen" w:hAnsi="Sylfaen" w:cs="Sylfaen"/>
          <w:sz w:val="24"/>
          <w:szCs w:val="24"/>
          <w:lang w:val="ka-GE"/>
        </w:rPr>
        <w:t xml:space="preserve">წლის, არამედ გაცილებით მეტი </w:t>
      </w:r>
      <w:r w:rsidR="008139AE" w:rsidRPr="007971BD">
        <w:rPr>
          <w:rFonts w:ascii="Sylfaen" w:hAnsi="Sylfaen" w:cs="Sylfaen"/>
          <w:sz w:val="24"/>
          <w:szCs w:val="24"/>
          <w:lang w:val="ka-GE"/>
        </w:rPr>
        <w:t>ასაკის პირი</w:t>
      </w:r>
      <w:r w:rsidR="009863BF" w:rsidRPr="007971BD">
        <w:rPr>
          <w:rFonts w:ascii="Sylfaen" w:hAnsi="Sylfaen" w:cs="Sylfaen"/>
          <w:sz w:val="24"/>
          <w:szCs w:val="24"/>
          <w:lang w:val="ka-GE"/>
        </w:rPr>
        <w:t>ც</w:t>
      </w:r>
      <w:r w:rsidR="008139AE" w:rsidRPr="007971BD">
        <w:rPr>
          <w:rFonts w:ascii="Sylfaen" w:hAnsi="Sylfaen" w:cs="Sylfaen"/>
          <w:sz w:val="24"/>
          <w:szCs w:val="24"/>
          <w:lang w:val="ka-GE"/>
        </w:rPr>
        <w:t xml:space="preserve"> </w:t>
      </w:r>
      <w:r w:rsidR="008139AE" w:rsidRPr="002A445F">
        <w:rPr>
          <w:rFonts w:ascii="Sylfaen" w:hAnsi="Sylfaen" w:cs="Sylfaen"/>
          <w:sz w:val="24"/>
          <w:szCs w:val="24"/>
          <w:lang w:val="ka-GE"/>
        </w:rPr>
        <w:t>შეიძლება გამწესდეს საკონსტიტუციო სასამართლოს მოსამართლედ და მან მომდევნო 10 წელი შეუფერხებლად განახორციელოს მოსამართლის ფუნქციები  „გერიატრიული ასაკის</w:t>
      </w:r>
      <w:r w:rsidR="003B7E55" w:rsidRPr="002A445F">
        <w:rPr>
          <w:rFonts w:ascii="Sylfaen" w:hAnsi="Sylfaen" w:cs="Sylfaen"/>
          <w:sz w:val="24"/>
          <w:szCs w:val="24"/>
          <w:lang w:val="ka-GE"/>
        </w:rPr>
        <w:t>ა</w:t>
      </w:r>
      <w:r w:rsidR="008139AE" w:rsidRPr="002A445F">
        <w:rPr>
          <w:rFonts w:ascii="Sylfaen" w:hAnsi="Sylfaen" w:cs="Sylfaen"/>
          <w:sz w:val="24"/>
          <w:szCs w:val="24"/>
          <w:lang w:val="ka-GE"/>
        </w:rPr>
        <w:t xml:space="preserve">“ </w:t>
      </w:r>
      <w:r w:rsidR="00BD4AAD" w:rsidRPr="002A445F">
        <w:rPr>
          <w:rFonts w:ascii="Sylfaen" w:hAnsi="Sylfaen" w:cs="Sylfaen"/>
          <w:sz w:val="24"/>
          <w:szCs w:val="24"/>
          <w:lang w:val="ka-GE"/>
        </w:rPr>
        <w:t xml:space="preserve"> </w:t>
      </w:r>
      <w:r w:rsidR="003B7E55" w:rsidRPr="002A445F">
        <w:rPr>
          <w:rFonts w:ascii="Sylfaen" w:hAnsi="Sylfaen" w:cs="Sylfaen"/>
          <w:sz w:val="24"/>
          <w:szCs w:val="24"/>
          <w:lang w:val="ka-GE"/>
        </w:rPr>
        <w:t xml:space="preserve">და, წლების მატების კვალობაზე, სავარაუდოდ, უნარების სულ უფრო და უფრო </w:t>
      </w:r>
      <w:r w:rsidR="00D3692D" w:rsidRPr="002A445F">
        <w:rPr>
          <w:rFonts w:ascii="Sylfaen" w:hAnsi="Sylfaen" w:cs="Sylfaen"/>
          <w:sz w:val="24"/>
          <w:szCs w:val="24"/>
          <w:lang w:val="ka-GE"/>
        </w:rPr>
        <w:t xml:space="preserve"> გაუარეს</w:t>
      </w:r>
      <w:r w:rsidR="003B7E55" w:rsidRPr="002A445F">
        <w:rPr>
          <w:rFonts w:ascii="Sylfaen" w:hAnsi="Sylfaen" w:cs="Sylfaen"/>
          <w:sz w:val="24"/>
          <w:szCs w:val="24"/>
          <w:lang w:val="ka-GE"/>
        </w:rPr>
        <w:t>ების</w:t>
      </w:r>
      <w:r w:rsidR="009863BF" w:rsidRPr="002A445F">
        <w:rPr>
          <w:rFonts w:ascii="Sylfaen" w:hAnsi="Sylfaen" w:cs="Sylfaen"/>
          <w:sz w:val="24"/>
          <w:szCs w:val="24"/>
          <w:lang w:val="ka-GE"/>
        </w:rPr>
        <w:t xml:space="preserve"> </w:t>
      </w:r>
      <w:r w:rsidR="008139AE" w:rsidRPr="002A445F">
        <w:rPr>
          <w:rFonts w:ascii="Sylfaen" w:hAnsi="Sylfaen" w:cs="Sylfaen"/>
          <w:sz w:val="24"/>
          <w:szCs w:val="24"/>
          <w:lang w:val="ka-GE"/>
        </w:rPr>
        <w:t xml:space="preserve">მიუხედავად. </w:t>
      </w:r>
      <w:r w:rsidR="009863BF" w:rsidRPr="002A445F">
        <w:rPr>
          <w:rFonts w:ascii="Sylfaen" w:hAnsi="Sylfaen" w:cs="Sylfaen"/>
          <w:sz w:val="24"/>
          <w:szCs w:val="24"/>
          <w:lang w:val="ka-GE"/>
        </w:rPr>
        <w:t>ამ კონტექსტის დაყენებით, ისევე როგორც ზემო</w:t>
      </w:r>
      <w:r w:rsidR="00705EEA" w:rsidRPr="002A445F">
        <w:rPr>
          <w:rFonts w:ascii="Sylfaen" w:hAnsi="Sylfaen" w:cs="Sylfaen"/>
          <w:sz w:val="24"/>
          <w:szCs w:val="24"/>
          <w:lang w:val="ka-GE"/>
        </w:rPr>
        <w:t>ხსენებულ</w:t>
      </w:r>
      <w:r w:rsidR="009863BF" w:rsidRPr="002A445F">
        <w:rPr>
          <w:rFonts w:ascii="Sylfaen" w:hAnsi="Sylfaen" w:cs="Sylfaen"/>
          <w:sz w:val="24"/>
          <w:szCs w:val="24"/>
          <w:lang w:val="ka-GE"/>
        </w:rPr>
        <w:t xml:space="preserve"> შემთხვევაში, არ ვისახავ მიზანს, ვამტკიცო, რომ </w:t>
      </w:r>
      <w:r w:rsidR="003B7E55" w:rsidRPr="002A445F">
        <w:rPr>
          <w:rFonts w:ascii="Sylfaen" w:hAnsi="Sylfaen" w:cs="Sylfaen"/>
          <w:sz w:val="24"/>
          <w:szCs w:val="24"/>
          <w:lang w:val="ka-GE"/>
        </w:rPr>
        <w:t>ამ შემთხვევაში მაინც, რაკი საქმე სასამართლოებს შეეხება, განსხვავება არ უნდა არსებობდეს და რომ</w:t>
      </w:r>
      <w:r w:rsidR="003B7E55" w:rsidRPr="007971BD">
        <w:rPr>
          <w:rFonts w:ascii="Sylfaen" w:hAnsi="Sylfaen" w:cs="Sylfaen"/>
          <w:sz w:val="24"/>
          <w:szCs w:val="24"/>
          <w:lang w:val="ka-GE"/>
        </w:rPr>
        <w:t xml:space="preserve"> </w:t>
      </w:r>
      <w:r w:rsidR="009863BF" w:rsidRPr="007971BD">
        <w:rPr>
          <w:rFonts w:ascii="Sylfaen" w:hAnsi="Sylfaen" w:cs="Sylfaen"/>
          <w:sz w:val="24"/>
          <w:szCs w:val="24"/>
          <w:lang w:val="ka-GE"/>
        </w:rPr>
        <w:t xml:space="preserve">საკონსტიტუციო და საერთო სასამართლოების სისტემაში </w:t>
      </w:r>
      <w:r w:rsidR="00A832BC" w:rsidRPr="007971BD">
        <w:rPr>
          <w:rFonts w:ascii="Sylfaen" w:hAnsi="Sylfaen" w:cs="Sylfaen"/>
          <w:sz w:val="24"/>
          <w:szCs w:val="24"/>
          <w:lang w:val="ka-GE"/>
        </w:rPr>
        <w:t xml:space="preserve">აუცილებლად </w:t>
      </w:r>
      <w:r w:rsidR="003B7E55" w:rsidRPr="007971BD">
        <w:rPr>
          <w:rFonts w:ascii="Sylfaen" w:hAnsi="Sylfaen" w:cs="Sylfaen"/>
          <w:sz w:val="24"/>
          <w:szCs w:val="24"/>
          <w:lang w:val="ka-GE"/>
        </w:rPr>
        <w:t xml:space="preserve">ერთგვაროვანი მიდგომები </w:t>
      </w:r>
      <w:r w:rsidR="009863BF" w:rsidRPr="007971BD">
        <w:rPr>
          <w:rFonts w:ascii="Sylfaen" w:hAnsi="Sylfaen" w:cs="Sylfaen"/>
          <w:sz w:val="24"/>
          <w:szCs w:val="24"/>
          <w:lang w:val="ka-GE"/>
        </w:rPr>
        <w:t>უნდა იყოს</w:t>
      </w:r>
      <w:r w:rsidR="00A832BC" w:rsidRPr="007971BD">
        <w:rPr>
          <w:rFonts w:ascii="Sylfaen" w:hAnsi="Sylfaen" w:cs="Sylfaen"/>
          <w:sz w:val="24"/>
          <w:szCs w:val="24"/>
          <w:lang w:val="ka-GE"/>
        </w:rPr>
        <w:t>.</w:t>
      </w:r>
      <w:r w:rsidR="009863BF" w:rsidRPr="007971BD">
        <w:rPr>
          <w:rFonts w:ascii="Sylfaen" w:hAnsi="Sylfaen" w:cs="Sylfaen"/>
          <w:sz w:val="24"/>
          <w:szCs w:val="24"/>
          <w:lang w:val="ka-GE"/>
        </w:rPr>
        <w:t xml:space="preserve"> </w:t>
      </w:r>
      <w:r w:rsidR="00A832BC" w:rsidRPr="007971BD">
        <w:rPr>
          <w:rFonts w:ascii="Sylfaen" w:hAnsi="Sylfaen" w:cs="Sylfaen"/>
          <w:sz w:val="24"/>
          <w:szCs w:val="24"/>
          <w:lang w:val="ka-GE"/>
        </w:rPr>
        <w:t xml:space="preserve"> </w:t>
      </w:r>
      <w:r w:rsidR="009863BF" w:rsidRPr="007971BD">
        <w:rPr>
          <w:rFonts w:ascii="Sylfaen" w:hAnsi="Sylfaen" w:cs="Sylfaen"/>
          <w:sz w:val="24"/>
          <w:szCs w:val="24"/>
          <w:lang w:val="ka-GE"/>
        </w:rPr>
        <w:t>თუმცა, ის კი უნდა ითქვას, რომ ეს მიდგომები</w:t>
      </w:r>
      <w:r w:rsidR="00A832BC" w:rsidRPr="007971BD">
        <w:rPr>
          <w:rFonts w:ascii="Sylfaen" w:hAnsi="Sylfaen" w:cs="Sylfaen"/>
          <w:sz w:val="24"/>
          <w:szCs w:val="24"/>
          <w:lang w:val="ka-GE"/>
        </w:rPr>
        <w:t xml:space="preserve"> </w:t>
      </w:r>
      <w:r w:rsidR="003B7E55" w:rsidRPr="007971BD">
        <w:rPr>
          <w:rFonts w:ascii="Sylfaen" w:hAnsi="Sylfaen" w:cs="Sylfaen"/>
          <w:sz w:val="24"/>
          <w:szCs w:val="24"/>
          <w:lang w:val="ka-GE"/>
        </w:rPr>
        <w:t>მოცემულ შემთ</w:t>
      </w:r>
      <w:r w:rsidR="006A3A18">
        <w:rPr>
          <w:rFonts w:ascii="Sylfaen" w:hAnsi="Sylfaen" w:cs="Sylfaen"/>
          <w:sz w:val="24"/>
          <w:szCs w:val="24"/>
          <w:lang w:val="ka-GE"/>
        </w:rPr>
        <w:t>ხ</w:t>
      </w:r>
      <w:r w:rsidR="003B7E55" w:rsidRPr="007971BD">
        <w:rPr>
          <w:rFonts w:ascii="Sylfaen" w:hAnsi="Sylfaen" w:cs="Sylfaen"/>
          <w:sz w:val="24"/>
          <w:szCs w:val="24"/>
          <w:lang w:val="ka-GE"/>
        </w:rPr>
        <w:t>ვევაში</w:t>
      </w:r>
      <w:r w:rsidR="00A24AC1" w:rsidRPr="007971BD">
        <w:rPr>
          <w:rFonts w:ascii="Sylfaen" w:hAnsi="Sylfaen" w:cs="Sylfaen"/>
          <w:sz w:val="24"/>
          <w:szCs w:val="24"/>
          <w:lang w:val="ka-GE"/>
        </w:rPr>
        <w:t xml:space="preserve"> </w:t>
      </w:r>
      <w:r w:rsidR="003B7E55" w:rsidRPr="007971BD">
        <w:rPr>
          <w:rFonts w:ascii="Sylfaen" w:hAnsi="Sylfaen" w:cs="Sylfaen"/>
          <w:sz w:val="24"/>
          <w:szCs w:val="24"/>
          <w:lang w:val="ka-GE"/>
        </w:rPr>
        <w:t>-</w:t>
      </w:r>
      <w:r w:rsidR="00A24AC1" w:rsidRPr="007971BD">
        <w:rPr>
          <w:rFonts w:ascii="Sylfaen" w:hAnsi="Sylfaen" w:cs="Sylfaen"/>
          <w:sz w:val="24"/>
          <w:szCs w:val="24"/>
          <w:lang w:val="ka-GE"/>
        </w:rPr>
        <w:t xml:space="preserve"> </w:t>
      </w:r>
      <w:r w:rsidR="00A832BC" w:rsidRPr="007971BD">
        <w:rPr>
          <w:rFonts w:ascii="Sylfaen" w:hAnsi="Sylfaen" w:cs="Sylfaen"/>
          <w:sz w:val="24"/>
          <w:szCs w:val="24"/>
          <w:lang w:val="ka-GE"/>
        </w:rPr>
        <w:t>საერთო და საკონსტიტუციო სასამართლოს მოსამართლეებთან მიმართებაში</w:t>
      </w:r>
      <w:r w:rsidR="00A24AC1" w:rsidRPr="007971BD">
        <w:rPr>
          <w:rFonts w:ascii="Sylfaen" w:hAnsi="Sylfaen" w:cs="Sylfaen"/>
          <w:sz w:val="24"/>
          <w:szCs w:val="24"/>
          <w:lang w:val="ka-GE"/>
        </w:rPr>
        <w:t xml:space="preserve"> </w:t>
      </w:r>
      <w:r w:rsidR="003B7E55" w:rsidRPr="007971BD">
        <w:rPr>
          <w:rFonts w:ascii="Sylfaen" w:hAnsi="Sylfaen" w:cs="Sylfaen"/>
          <w:sz w:val="24"/>
          <w:szCs w:val="24"/>
          <w:lang w:val="ka-GE"/>
        </w:rPr>
        <w:t>-</w:t>
      </w:r>
      <w:r w:rsidR="00A24AC1" w:rsidRPr="007971BD">
        <w:rPr>
          <w:rFonts w:ascii="Sylfaen" w:hAnsi="Sylfaen" w:cs="Sylfaen"/>
          <w:sz w:val="24"/>
          <w:szCs w:val="24"/>
          <w:lang w:val="ka-GE"/>
        </w:rPr>
        <w:t xml:space="preserve"> </w:t>
      </w:r>
      <w:r w:rsidR="003E4501" w:rsidRPr="007971BD">
        <w:rPr>
          <w:rFonts w:ascii="Sylfaen" w:hAnsi="Sylfaen" w:cs="Sylfaen"/>
          <w:sz w:val="24"/>
          <w:szCs w:val="24"/>
          <w:lang w:val="ka-GE"/>
        </w:rPr>
        <w:t>მართლაც</w:t>
      </w:r>
      <w:r w:rsidR="009863BF" w:rsidRPr="007971BD">
        <w:rPr>
          <w:rFonts w:ascii="Sylfaen" w:hAnsi="Sylfaen" w:cs="Sylfaen"/>
          <w:sz w:val="24"/>
          <w:szCs w:val="24"/>
          <w:lang w:val="ka-GE"/>
        </w:rPr>
        <w:t xml:space="preserve"> რადიკალურად განსხვავებულია</w:t>
      </w:r>
      <w:r w:rsidR="00A832BC" w:rsidRPr="007971BD">
        <w:rPr>
          <w:rFonts w:ascii="Sylfaen" w:hAnsi="Sylfaen" w:cs="Sylfaen"/>
          <w:sz w:val="24"/>
          <w:szCs w:val="24"/>
          <w:lang w:val="ka-GE"/>
        </w:rPr>
        <w:t xml:space="preserve"> და ეს განსხვავებულობა არ არის იოლად ახსნადი და ლოგიკური.</w:t>
      </w:r>
      <w:r w:rsidR="009863BF" w:rsidRPr="007971BD">
        <w:rPr>
          <w:rFonts w:ascii="Sylfaen" w:hAnsi="Sylfaen" w:cs="Sylfaen"/>
          <w:sz w:val="24"/>
          <w:szCs w:val="24"/>
          <w:lang w:val="ka-GE"/>
        </w:rPr>
        <w:t xml:space="preserve"> </w:t>
      </w:r>
      <w:r w:rsidR="00A832BC" w:rsidRPr="007971BD">
        <w:rPr>
          <w:rFonts w:ascii="Sylfaen" w:hAnsi="Sylfaen" w:cs="Sylfaen"/>
          <w:sz w:val="24"/>
          <w:szCs w:val="24"/>
          <w:lang w:val="ka-GE"/>
        </w:rPr>
        <w:t>შესაბამისად,</w:t>
      </w:r>
      <w:r w:rsidR="009863BF" w:rsidRPr="007971BD">
        <w:rPr>
          <w:rFonts w:ascii="Sylfaen" w:hAnsi="Sylfaen" w:cs="Sylfaen"/>
          <w:sz w:val="24"/>
          <w:szCs w:val="24"/>
          <w:lang w:val="ka-GE"/>
        </w:rPr>
        <w:t xml:space="preserve">  ბუნდოვანი </w:t>
      </w:r>
      <w:r w:rsidR="00A832BC" w:rsidRPr="007971BD">
        <w:rPr>
          <w:rFonts w:ascii="Sylfaen" w:hAnsi="Sylfaen" w:cs="Sylfaen"/>
          <w:sz w:val="24"/>
          <w:szCs w:val="24"/>
          <w:lang w:val="ka-GE"/>
        </w:rPr>
        <w:t>რჩ</w:t>
      </w:r>
      <w:r w:rsidR="009863BF" w:rsidRPr="007971BD">
        <w:rPr>
          <w:rFonts w:ascii="Sylfaen" w:hAnsi="Sylfaen" w:cs="Sylfaen"/>
          <w:sz w:val="24"/>
          <w:szCs w:val="24"/>
          <w:lang w:val="ka-GE"/>
        </w:rPr>
        <w:t>ება, თუკი საერთო სასამართლო</w:t>
      </w:r>
      <w:r w:rsidR="00BD4AAD" w:rsidRPr="007971BD">
        <w:rPr>
          <w:rFonts w:ascii="Sylfaen" w:hAnsi="Sylfaen" w:cs="Sylfaen"/>
          <w:sz w:val="24"/>
          <w:szCs w:val="24"/>
          <w:lang w:val="ka-GE"/>
        </w:rPr>
        <w:t>ს მოსამართლეე</w:t>
      </w:r>
      <w:r w:rsidR="009863BF" w:rsidRPr="007971BD">
        <w:rPr>
          <w:rFonts w:ascii="Sylfaen" w:hAnsi="Sylfaen" w:cs="Sylfaen"/>
          <w:sz w:val="24"/>
          <w:szCs w:val="24"/>
          <w:lang w:val="ka-GE"/>
        </w:rPr>
        <w:t xml:space="preserve">ბთან მიმართებაში 65 წლის ასაკობრივი ბარიერის ლეგიტიმურობა ამ ასაკის </w:t>
      </w:r>
      <w:r w:rsidR="00A832BC" w:rsidRPr="007971BD">
        <w:rPr>
          <w:rFonts w:ascii="Sylfaen" w:hAnsi="Sylfaen" w:cs="Sylfaen"/>
          <w:sz w:val="24"/>
          <w:szCs w:val="24"/>
          <w:lang w:val="ka-GE"/>
        </w:rPr>
        <w:t xml:space="preserve">გერიატრიულობას ემყარება და იმის პრეზუმფციას გულისხმობს, რომ ამ ასაკის ადამიანის ფიზიკური </w:t>
      </w:r>
      <w:r w:rsidR="00A832BC" w:rsidRPr="007971BD">
        <w:rPr>
          <w:rFonts w:ascii="Sylfaen" w:hAnsi="Sylfaen" w:cs="Sylfaen"/>
          <w:sz w:val="24"/>
          <w:szCs w:val="24"/>
          <w:lang w:val="ka-GE"/>
        </w:rPr>
        <w:lastRenderedPageBreak/>
        <w:t>და გონებრივი შესაძლებლობები</w:t>
      </w:r>
      <w:r w:rsidR="009630DF" w:rsidRPr="007971BD">
        <w:rPr>
          <w:rFonts w:ascii="Sylfaen" w:hAnsi="Sylfaen" w:cs="Sylfaen"/>
          <w:sz w:val="24"/>
          <w:szCs w:val="24"/>
          <w:lang w:val="ka-GE"/>
        </w:rPr>
        <w:t xml:space="preserve"> </w:t>
      </w:r>
      <w:r w:rsidR="00A832BC" w:rsidRPr="007971BD">
        <w:rPr>
          <w:rFonts w:ascii="Sylfaen" w:hAnsi="Sylfaen" w:cs="Sylfaen"/>
          <w:sz w:val="24"/>
          <w:szCs w:val="24"/>
          <w:lang w:val="ka-GE"/>
        </w:rPr>
        <w:t>დაქვეითებულია,</w:t>
      </w:r>
      <w:r w:rsidR="009863BF" w:rsidRPr="007971BD">
        <w:rPr>
          <w:rFonts w:ascii="Sylfaen" w:hAnsi="Sylfaen" w:cs="Sylfaen"/>
          <w:sz w:val="24"/>
          <w:szCs w:val="24"/>
          <w:lang w:val="ka-GE"/>
        </w:rPr>
        <w:t xml:space="preserve"> </w:t>
      </w:r>
      <w:r w:rsidR="006E5419" w:rsidRPr="007971BD">
        <w:rPr>
          <w:rFonts w:ascii="Sylfaen" w:hAnsi="Sylfaen" w:cs="Sylfaen"/>
          <w:sz w:val="24"/>
          <w:szCs w:val="24"/>
          <w:lang w:val="ka-GE"/>
        </w:rPr>
        <w:t xml:space="preserve">მაშინ </w:t>
      </w:r>
      <w:r w:rsidR="00BD4AAD" w:rsidRPr="007971BD">
        <w:rPr>
          <w:rFonts w:ascii="Sylfaen" w:hAnsi="Sylfaen" w:cs="Sylfaen"/>
          <w:sz w:val="24"/>
          <w:szCs w:val="24"/>
          <w:lang w:val="ka-GE"/>
        </w:rPr>
        <w:t xml:space="preserve">რატომ კარგავს ეს ფაქტორი </w:t>
      </w:r>
      <w:r w:rsidR="009630DF" w:rsidRPr="007971BD">
        <w:rPr>
          <w:rFonts w:ascii="Sylfaen" w:hAnsi="Sylfaen" w:cs="Sylfaen"/>
          <w:sz w:val="24"/>
          <w:szCs w:val="24"/>
          <w:lang w:val="ka-GE"/>
        </w:rPr>
        <w:t>სრულ</w:t>
      </w:r>
      <w:r w:rsidR="00BD4AAD" w:rsidRPr="007971BD">
        <w:rPr>
          <w:rFonts w:ascii="Sylfaen" w:hAnsi="Sylfaen" w:cs="Sylfaen"/>
          <w:sz w:val="24"/>
          <w:szCs w:val="24"/>
          <w:lang w:val="ka-GE"/>
        </w:rPr>
        <w:t xml:space="preserve">ად თავის მნიშვნელობას საკონსტიტუციო სასამართლოს მოსამართლეებთან მიმართებაში. სასამართლოს ისეთი დასაბუთება უნდა </w:t>
      </w:r>
      <w:r w:rsidR="00BD4AAD" w:rsidRPr="002A445F">
        <w:rPr>
          <w:rFonts w:ascii="Sylfaen" w:hAnsi="Sylfaen" w:cs="Sylfaen"/>
          <w:sz w:val="24"/>
          <w:szCs w:val="24"/>
          <w:lang w:val="ka-GE"/>
        </w:rPr>
        <w:t>შემოეთავაზებინა, რომელიც სამომავლო</w:t>
      </w:r>
      <w:r w:rsidR="003E4501" w:rsidRPr="002A445F">
        <w:rPr>
          <w:rFonts w:ascii="Sylfaen" w:hAnsi="Sylfaen" w:cs="Sylfaen"/>
          <w:sz w:val="24"/>
          <w:szCs w:val="24"/>
          <w:lang w:val="ka-GE"/>
        </w:rPr>
        <w:t>დ</w:t>
      </w:r>
      <w:r w:rsidR="00BD4AAD" w:rsidRPr="002A445F">
        <w:rPr>
          <w:rFonts w:ascii="Sylfaen" w:hAnsi="Sylfaen" w:cs="Sylfaen"/>
          <w:sz w:val="24"/>
          <w:szCs w:val="24"/>
          <w:lang w:val="ka-GE"/>
        </w:rPr>
        <w:t xml:space="preserve"> ჩიხში არ შეიყვანს მას, როდესაც მოუწევს </w:t>
      </w:r>
      <w:r w:rsidR="009630DF" w:rsidRPr="002A445F">
        <w:rPr>
          <w:rFonts w:ascii="Sylfaen" w:hAnsi="Sylfaen" w:cs="Sylfaen"/>
          <w:sz w:val="24"/>
          <w:szCs w:val="24"/>
          <w:lang w:val="ka-GE"/>
        </w:rPr>
        <w:t xml:space="preserve">იმაზე პასუხის გაცემა, </w:t>
      </w:r>
      <w:r w:rsidR="00BD4AAD" w:rsidRPr="002A445F">
        <w:rPr>
          <w:rFonts w:ascii="Sylfaen" w:hAnsi="Sylfaen" w:cs="Sylfaen"/>
          <w:sz w:val="24"/>
          <w:szCs w:val="24"/>
          <w:lang w:val="ka-GE"/>
        </w:rPr>
        <w:t xml:space="preserve">არიან თუ არა საკონსტიტუციო და საერთო სასამართლოს მოსამართლეები თანასწორი სუბიექტები </w:t>
      </w:r>
      <w:r w:rsidR="009630DF" w:rsidRPr="002A445F">
        <w:rPr>
          <w:rFonts w:ascii="Sylfaen" w:hAnsi="Sylfaen" w:cs="Sylfaen"/>
          <w:sz w:val="24"/>
          <w:szCs w:val="24"/>
          <w:lang w:val="ka-GE"/>
        </w:rPr>
        <w:t>მოსამართლედ სამსახურის გაგრძელების ინტერესთან მიმართებაში</w:t>
      </w:r>
      <w:r w:rsidR="00A24AC1" w:rsidRPr="002A445F">
        <w:rPr>
          <w:rFonts w:ascii="Sylfaen" w:hAnsi="Sylfaen" w:cs="Sylfaen"/>
          <w:sz w:val="24"/>
          <w:szCs w:val="24"/>
          <w:lang w:val="ka-GE"/>
        </w:rPr>
        <w:t>;</w:t>
      </w:r>
      <w:r w:rsidR="009630DF" w:rsidRPr="002A445F">
        <w:rPr>
          <w:rFonts w:ascii="Sylfaen" w:hAnsi="Sylfaen" w:cs="Sylfaen"/>
          <w:sz w:val="24"/>
          <w:szCs w:val="24"/>
          <w:lang w:val="ka-GE"/>
        </w:rPr>
        <w:t xml:space="preserve"> მოქმედებს თუ არა გერიატრიული ასაკი მათზე ერთგვაროვნად</w:t>
      </w:r>
      <w:r w:rsidR="00A24AC1" w:rsidRPr="002A445F">
        <w:rPr>
          <w:rFonts w:ascii="Sylfaen" w:hAnsi="Sylfaen" w:cs="Sylfaen"/>
          <w:sz w:val="24"/>
          <w:szCs w:val="24"/>
          <w:lang w:val="ka-GE"/>
        </w:rPr>
        <w:t>;</w:t>
      </w:r>
      <w:r w:rsidR="003E4501" w:rsidRPr="002A445F">
        <w:rPr>
          <w:rFonts w:ascii="Sylfaen" w:hAnsi="Sylfaen" w:cs="Sylfaen"/>
          <w:sz w:val="24"/>
          <w:szCs w:val="24"/>
          <w:lang w:val="ka-GE"/>
        </w:rPr>
        <w:t xml:space="preserve"> </w:t>
      </w:r>
      <w:r w:rsidR="006E5419" w:rsidRPr="002A445F">
        <w:rPr>
          <w:rFonts w:ascii="Sylfaen" w:hAnsi="Sylfaen" w:cs="Sylfaen"/>
          <w:sz w:val="24"/>
          <w:szCs w:val="24"/>
          <w:lang w:val="ka-GE"/>
        </w:rPr>
        <w:t>რატომ შეიძლება დავუშვათ რ</w:t>
      </w:r>
      <w:r w:rsidR="001D41CA" w:rsidRPr="002A445F">
        <w:rPr>
          <w:rFonts w:ascii="Sylfaen" w:hAnsi="Sylfaen" w:cs="Sylfaen"/>
          <w:sz w:val="24"/>
          <w:szCs w:val="24"/>
          <w:lang w:val="ka-GE"/>
        </w:rPr>
        <w:t>ო</w:t>
      </w:r>
      <w:r w:rsidR="006E5419" w:rsidRPr="002A445F">
        <w:rPr>
          <w:rFonts w:ascii="Sylfaen" w:hAnsi="Sylfaen" w:cs="Sylfaen"/>
          <w:sz w:val="24"/>
          <w:szCs w:val="24"/>
          <w:lang w:val="ka-GE"/>
        </w:rPr>
        <w:t>მ</w:t>
      </w:r>
      <w:r w:rsidR="00D3692D" w:rsidRPr="002A445F">
        <w:rPr>
          <w:rFonts w:ascii="Sylfaen" w:hAnsi="Sylfaen" w:cs="Sylfaen"/>
          <w:sz w:val="24"/>
          <w:szCs w:val="24"/>
          <w:lang w:val="ka-GE"/>
        </w:rPr>
        <w:t xml:space="preserve">, საერთო სასამართლოს მოსამართლეებისაგან განსხვავებით, </w:t>
      </w:r>
      <w:r w:rsidR="006E5419" w:rsidRPr="002A445F">
        <w:rPr>
          <w:rFonts w:ascii="Sylfaen" w:hAnsi="Sylfaen" w:cs="Sylfaen"/>
          <w:sz w:val="24"/>
          <w:szCs w:val="24"/>
          <w:lang w:val="ka-GE"/>
        </w:rPr>
        <w:t>საკონსტიტუციო სასამართლოს წევრებად გა</w:t>
      </w:r>
      <w:r w:rsidR="00CA7226" w:rsidRPr="002A445F">
        <w:rPr>
          <w:rFonts w:ascii="Sylfaen" w:hAnsi="Sylfaen" w:cs="Sylfaen"/>
          <w:sz w:val="24"/>
          <w:szCs w:val="24"/>
          <w:lang w:val="ka-GE"/>
        </w:rPr>
        <w:t>ნ</w:t>
      </w:r>
      <w:r w:rsidR="006E5419" w:rsidRPr="002A445F">
        <w:rPr>
          <w:rFonts w:ascii="Sylfaen" w:hAnsi="Sylfaen" w:cs="Sylfaen"/>
          <w:sz w:val="24"/>
          <w:szCs w:val="24"/>
          <w:lang w:val="ka-GE"/>
        </w:rPr>
        <w:t xml:space="preserve">წესებულ პირების არც „დიდ უმრავლესობას“ და არც „ნაწილს“ არ ემუქრება შრომითი უნარების გაუარესება, </w:t>
      </w:r>
      <w:r w:rsidR="003E4501" w:rsidRPr="002A445F">
        <w:rPr>
          <w:rFonts w:ascii="Sylfaen" w:hAnsi="Sylfaen" w:cs="Sylfaen"/>
          <w:sz w:val="24"/>
          <w:szCs w:val="24"/>
          <w:lang w:val="ka-GE"/>
        </w:rPr>
        <w:t xml:space="preserve">ანდა, </w:t>
      </w:r>
      <w:r w:rsidR="006E5419" w:rsidRPr="002A445F">
        <w:rPr>
          <w:rFonts w:ascii="Sylfaen" w:hAnsi="Sylfaen" w:cs="Sylfaen"/>
          <w:sz w:val="24"/>
          <w:szCs w:val="24"/>
          <w:lang w:val="ka-GE"/>
        </w:rPr>
        <w:t xml:space="preserve">ემუქრება, მაგრამ კონსტიტუციური </w:t>
      </w:r>
      <w:r w:rsidR="003E4501" w:rsidRPr="002A445F">
        <w:rPr>
          <w:rFonts w:ascii="Sylfaen" w:hAnsi="Sylfaen" w:cs="Sylfaen"/>
          <w:sz w:val="24"/>
          <w:szCs w:val="24"/>
          <w:lang w:val="ka-GE"/>
        </w:rPr>
        <w:t>მართლმსაჯულების ეფე</w:t>
      </w:r>
      <w:r w:rsidR="00CA7226" w:rsidRPr="002A445F">
        <w:rPr>
          <w:rFonts w:ascii="Sylfaen" w:hAnsi="Sylfaen" w:cs="Sylfaen"/>
          <w:sz w:val="24"/>
          <w:szCs w:val="24"/>
          <w:lang w:val="ka-GE"/>
        </w:rPr>
        <w:t>ქ</w:t>
      </w:r>
      <w:r w:rsidR="003E4501" w:rsidRPr="002A445F">
        <w:rPr>
          <w:rFonts w:ascii="Sylfaen" w:hAnsi="Sylfaen" w:cs="Sylfaen"/>
          <w:sz w:val="24"/>
          <w:szCs w:val="24"/>
          <w:lang w:val="ka-GE"/>
        </w:rPr>
        <w:t>ტიანად განხორციელებისა და სასამართლოსადმი ხალხის ნდობის შენარჩუნების ლეგიტიმური ინტერესები</w:t>
      </w:r>
      <w:r w:rsidR="006E5419" w:rsidRPr="002A445F">
        <w:rPr>
          <w:rFonts w:ascii="Sylfaen" w:hAnsi="Sylfaen" w:cs="Sylfaen"/>
          <w:sz w:val="24"/>
          <w:szCs w:val="24"/>
          <w:lang w:val="ka-GE"/>
        </w:rPr>
        <w:t xml:space="preserve"> მაინც არ დადგება საფრთხის ქვეშ.</w:t>
      </w:r>
      <w:r w:rsidR="009D1B21" w:rsidRPr="002A445F">
        <w:rPr>
          <w:rFonts w:ascii="Sylfaen" w:hAnsi="Sylfaen" w:cs="Sylfaen"/>
          <w:sz w:val="24"/>
          <w:szCs w:val="24"/>
          <w:lang w:val="ka-GE"/>
        </w:rPr>
        <w:t xml:space="preserve"> </w:t>
      </w:r>
    </w:p>
    <w:p w14:paraId="4B3CCAE6" w14:textId="154E04D8" w:rsidR="00A24AC1" w:rsidRPr="007971BD" w:rsidRDefault="009D1B21"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2A445F">
        <w:rPr>
          <w:rFonts w:ascii="Sylfaen" w:hAnsi="Sylfaen" w:cs="Sylfaen"/>
          <w:sz w:val="24"/>
          <w:szCs w:val="24"/>
          <w:lang w:val="ka-GE"/>
        </w:rPr>
        <w:t>მართალია, თანასწორობის კონტექს</w:t>
      </w:r>
      <w:r w:rsidR="00CA7226" w:rsidRPr="002A445F">
        <w:rPr>
          <w:rFonts w:ascii="Sylfaen" w:hAnsi="Sylfaen" w:cs="Sylfaen"/>
          <w:sz w:val="24"/>
          <w:szCs w:val="24"/>
          <w:lang w:val="ka-GE"/>
        </w:rPr>
        <w:t>ტ</w:t>
      </w:r>
      <w:r w:rsidRPr="002A445F">
        <w:rPr>
          <w:rFonts w:ascii="Sylfaen" w:hAnsi="Sylfaen" w:cs="Sylfaen"/>
          <w:sz w:val="24"/>
          <w:szCs w:val="24"/>
          <w:lang w:val="ka-GE"/>
        </w:rPr>
        <w:t>ში საკითხი</w:t>
      </w:r>
      <w:r w:rsidR="006E5419" w:rsidRPr="002A445F">
        <w:rPr>
          <w:rFonts w:ascii="Sylfaen" w:hAnsi="Sylfaen" w:cs="Sylfaen"/>
          <w:sz w:val="24"/>
          <w:szCs w:val="24"/>
          <w:lang w:val="ka-GE"/>
        </w:rPr>
        <w:t xml:space="preserve"> </w:t>
      </w:r>
      <w:r w:rsidR="003E4501" w:rsidRPr="002A445F">
        <w:rPr>
          <w:rFonts w:ascii="Sylfaen" w:hAnsi="Sylfaen" w:cs="Sylfaen"/>
          <w:sz w:val="24"/>
          <w:szCs w:val="24"/>
          <w:lang w:val="ka-GE"/>
        </w:rPr>
        <w:t xml:space="preserve"> </w:t>
      </w:r>
      <w:r w:rsidRPr="002A445F">
        <w:rPr>
          <w:rFonts w:ascii="Sylfaen" w:hAnsi="Sylfaen" w:cs="Sylfaen"/>
          <w:sz w:val="24"/>
          <w:szCs w:val="24"/>
          <w:lang w:val="ka-GE"/>
        </w:rPr>
        <w:t>არ ყოფილა დაყენებული უშუალოდ საკონსტიტუციო</w:t>
      </w:r>
      <w:r w:rsidRPr="007971BD">
        <w:rPr>
          <w:rFonts w:ascii="Sylfaen" w:hAnsi="Sylfaen" w:cs="Sylfaen"/>
          <w:sz w:val="24"/>
          <w:szCs w:val="24"/>
          <w:lang w:val="ka-GE"/>
        </w:rPr>
        <w:t xml:space="preserve"> </w:t>
      </w:r>
      <w:r w:rsidR="007731C5" w:rsidRPr="007971BD">
        <w:rPr>
          <w:rFonts w:ascii="Sylfaen" w:hAnsi="Sylfaen" w:cs="Sylfaen"/>
          <w:sz w:val="24"/>
          <w:szCs w:val="24"/>
          <w:lang w:val="ka-GE"/>
        </w:rPr>
        <w:t xml:space="preserve">და </w:t>
      </w:r>
      <w:r w:rsidR="003B7E55" w:rsidRPr="007971BD">
        <w:rPr>
          <w:rFonts w:ascii="Sylfaen" w:hAnsi="Sylfaen" w:cs="Sylfaen"/>
          <w:sz w:val="24"/>
          <w:szCs w:val="24"/>
          <w:lang w:val="ka-GE"/>
        </w:rPr>
        <w:t>საერთო</w:t>
      </w:r>
      <w:r w:rsidR="007731C5" w:rsidRPr="007971BD">
        <w:rPr>
          <w:rFonts w:ascii="Sylfaen" w:hAnsi="Sylfaen" w:cs="Sylfaen"/>
          <w:sz w:val="24"/>
          <w:szCs w:val="24"/>
          <w:lang w:val="ka-GE"/>
        </w:rPr>
        <w:t xml:space="preserve"> სასამართლ</w:t>
      </w:r>
      <w:r w:rsidR="00CA7226">
        <w:rPr>
          <w:rFonts w:ascii="Sylfaen" w:hAnsi="Sylfaen" w:cs="Sylfaen"/>
          <w:sz w:val="24"/>
          <w:szCs w:val="24"/>
          <w:lang w:val="ka-GE"/>
        </w:rPr>
        <w:t>ო</w:t>
      </w:r>
      <w:r w:rsidR="007731C5" w:rsidRPr="007971BD">
        <w:rPr>
          <w:rFonts w:ascii="Sylfaen" w:hAnsi="Sylfaen" w:cs="Sylfaen"/>
          <w:sz w:val="24"/>
          <w:szCs w:val="24"/>
          <w:lang w:val="ka-GE"/>
        </w:rPr>
        <w:t xml:space="preserve">ების  </w:t>
      </w:r>
      <w:r w:rsidRPr="007971BD">
        <w:rPr>
          <w:rFonts w:ascii="Sylfaen" w:hAnsi="Sylfaen" w:cs="Sylfaen"/>
          <w:sz w:val="24"/>
          <w:szCs w:val="24"/>
          <w:lang w:val="ka-GE"/>
        </w:rPr>
        <w:t xml:space="preserve">მოსამართლეებთან </w:t>
      </w:r>
      <w:r w:rsidR="00853B5C">
        <w:rPr>
          <w:rFonts w:ascii="Sylfaen" w:hAnsi="Sylfaen" w:cs="Sylfaen"/>
          <w:sz w:val="24"/>
          <w:szCs w:val="24"/>
          <w:lang w:val="ka-GE"/>
        </w:rPr>
        <w:t>მიმართებით</w:t>
      </w:r>
      <w:r w:rsidRPr="007971BD">
        <w:rPr>
          <w:rFonts w:ascii="Sylfaen" w:hAnsi="Sylfaen" w:cs="Sylfaen"/>
          <w:sz w:val="24"/>
          <w:szCs w:val="24"/>
          <w:lang w:val="ka-GE"/>
        </w:rPr>
        <w:t xml:space="preserve"> განსხვავებული მოპყრობის </w:t>
      </w:r>
      <w:r w:rsidR="007731C5" w:rsidRPr="007971BD">
        <w:rPr>
          <w:rFonts w:ascii="Sylfaen" w:hAnsi="Sylfaen" w:cs="Sylfaen"/>
          <w:sz w:val="24"/>
          <w:szCs w:val="24"/>
          <w:lang w:val="ka-GE"/>
        </w:rPr>
        <w:t>პრიზმაში</w:t>
      </w:r>
      <w:r w:rsidRPr="007971BD">
        <w:rPr>
          <w:rFonts w:ascii="Sylfaen" w:hAnsi="Sylfaen" w:cs="Sylfaen"/>
          <w:sz w:val="24"/>
          <w:szCs w:val="24"/>
          <w:lang w:val="ka-GE"/>
        </w:rPr>
        <w:t xml:space="preserve">, და </w:t>
      </w:r>
      <w:r w:rsidR="003B7E55" w:rsidRPr="007971BD">
        <w:rPr>
          <w:rFonts w:ascii="Sylfaen" w:hAnsi="Sylfaen" w:cs="Sylfaen"/>
          <w:sz w:val="24"/>
          <w:szCs w:val="24"/>
          <w:lang w:val="ka-GE"/>
        </w:rPr>
        <w:t>პლენუმს</w:t>
      </w:r>
      <w:r w:rsidRPr="007971BD">
        <w:rPr>
          <w:rFonts w:ascii="Sylfaen" w:hAnsi="Sylfaen" w:cs="Sylfaen"/>
          <w:sz w:val="24"/>
          <w:szCs w:val="24"/>
          <w:lang w:val="ka-GE"/>
        </w:rPr>
        <w:t xml:space="preserve"> არ ევალებოდა სიღ</w:t>
      </w:r>
      <w:r w:rsidR="00705EEA">
        <w:rPr>
          <w:rFonts w:ascii="Sylfaen" w:hAnsi="Sylfaen" w:cs="Sylfaen"/>
          <w:sz w:val="24"/>
          <w:szCs w:val="24"/>
          <w:lang w:val="ka-GE"/>
        </w:rPr>
        <w:t>რ</w:t>
      </w:r>
      <w:r w:rsidRPr="007971BD">
        <w:rPr>
          <w:rFonts w:ascii="Sylfaen" w:hAnsi="Sylfaen" w:cs="Sylfaen"/>
          <w:sz w:val="24"/>
          <w:szCs w:val="24"/>
          <w:lang w:val="ka-GE"/>
        </w:rPr>
        <w:t>მისეული მსჯელობა განევითარებინა ამ მიმართულებით</w:t>
      </w:r>
      <w:r w:rsidR="007731C5" w:rsidRPr="007971BD">
        <w:rPr>
          <w:rFonts w:ascii="Sylfaen" w:hAnsi="Sylfaen" w:cs="Sylfaen"/>
          <w:sz w:val="24"/>
          <w:szCs w:val="24"/>
          <w:lang w:val="ka-GE"/>
        </w:rPr>
        <w:t>.</w:t>
      </w:r>
      <w:r w:rsidRPr="007971BD">
        <w:rPr>
          <w:rFonts w:ascii="Sylfaen" w:hAnsi="Sylfaen" w:cs="Sylfaen"/>
          <w:sz w:val="24"/>
          <w:szCs w:val="24"/>
          <w:lang w:val="ka-GE"/>
        </w:rPr>
        <w:t xml:space="preserve"> თუმცა, ისიც უდავოა, რომ </w:t>
      </w:r>
      <w:r w:rsidR="007731C5" w:rsidRPr="007971BD">
        <w:rPr>
          <w:rFonts w:ascii="Sylfaen" w:hAnsi="Sylfaen" w:cs="Sylfaen"/>
          <w:sz w:val="24"/>
          <w:szCs w:val="24"/>
          <w:lang w:val="ka-GE"/>
        </w:rPr>
        <w:t>საზოგადოდ, სასამართლომ კონსტიტუციის თითოეული ნორმა უნდა განმარტოს თანმიმდევრულად</w:t>
      </w:r>
      <w:r w:rsidR="00D3692D">
        <w:rPr>
          <w:rFonts w:ascii="Sylfaen" w:hAnsi="Sylfaen" w:cs="Sylfaen"/>
          <w:sz w:val="24"/>
          <w:szCs w:val="24"/>
          <w:lang w:val="ka-GE"/>
        </w:rPr>
        <w:t xml:space="preserve">,  </w:t>
      </w:r>
      <w:r w:rsidR="00705EEA">
        <w:rPr>
          <w:rFonts w:ascii="Sylfaen" w:hAnsi="Sylfaen" w:cs="Sylfaen"/>
          <w:sz w:val="24"/>
          <w:szCs w:val="24"/>
          <w:lang w:val="ka-GE"/>
        </w:rPr>
        <w:t>იმგვარად</w:t>
      </w:r>
      <w:r w:rsidR="007731C5" w:rsidRPr="007971BD">
        <w:rPr>
          <w:rFonts w:ascii="Sylfaen" w:hAnsi="Sylfaen" w:cs="Sylfaen"/>
          <w:sz w:val="24"/>
          <w:szCs w:val="24"/>
          <w:lang w:val="ka-GE"/>
        </w:rPr>
        <w:t>, რომ კონსტიტუციურ დებულებათა შინ</w:t>
      </w:r>
      <w:r w:rsidR="00CA7226">
        <w:rPr>
          <w:rFonts w:ascii="Sylfaen" w:hAnsi="Sylfaen" w:cs="Sylfaen"/>
          <w:sz w:val="24"/>
          <w:szCs w:val="24"/>
          <w:lang w:val="ka-GE"/>
        </w:rPr>
        <w:t>ა</w:t>
      </w:r>
      <w:r w:rsidR="007731C5" w:rsidRPr="007971BD">
        <w:rPr>
          <w:rFonts w:ascii="Sylfaen" w:hAnsi="Sylfaen" w:cs="Sylfaen"/>
          <w:sz w:val="24"/>
          <w:szCs w:val="24"/>
          <w:lang w:val="ka-GE"/>
        </w:rPr>
        <w:t>არსი, პრინციპები და მიდგომები</w:t>
      </w:r>
      <w:r w:rsidR="00825E9F">
        <w:rPr>
          <w:rFonts w:ascii="Sylfaen" w:hAnsi="Sylfaen" w:cs="Sylfaen"/>
          <w:sz w:val="24"/>
          <w:szCs w:val="24"/>
          <w:lang w:val="ka-GE"/>
        </w:rPr>
        <w:t xml:space="preserve"> </w:t>
      </w:r>
      <w:r w:rsidR="007731C5" w:rsidRPr="007971BD">
        <w:rPr>
          <w:rFonts w:ascii="Sylfaen" w:hAnsi="Sylfaen" w:cs="Sylfaen"/>
          <w:sz w:val="24"/>
          <w:szCs w:val="24"/>
          <w:lang w:val="ka-GE"/>
        </w:rPr>
        <w:t xml:space="preserve">ურთიერთშეთავსებადი იყოს, ჰარმონიულად ერწყმოდნენ ერთმანეთს და   არ ამკვიდრებდნენ  წინააღმდეგობრივ მიდგომებს. ასე რომ, საკონსტიტუციო სასამართლოს მოსამართლეებთან მიმართებაში არსებული წესი, სულ მცირე, პერიფერიული მხედველობის არეში მაინც უნდა ჰქონოდა სასამართლოს, როდესაც საერთო სასამართლოს </w:t>
      </w:r>
      <w:r w:rsidR="00FA0B2D" w:rsidRPr="007971BD">
        <w:rPr>
          <w:rFonts w:ascii="Sylfaen" w:hAnsi="Sylfaen" w:cs="Sylfaen"/>
          <w:sz w:val="24"/>
          <w:szCs w:val="24"/>
          <w:lang w:val="ka-GE"/>
        </w:rPr>
        <w:t>მოსამართლეებთ</w:t>
      </w:r>
      <w:r w:rsidR="007731C5" w:rsidRPr="007971BD">
        <w:rPr>
          <w:rFonts w:ascii="Sylfaen" w:hAnsi="Sylfaen" w:cs="Sylfaen"/>
          <w:sz w:val="24"/>
          <w:szCs w:val="24"/>
          <w:lang w:val="ka-GE"/>
        </w:rPr>
        <w:t>ან მიმართებაში მისგან განსხვავებული მიდგომის კონსტიტუციურობას დაადასტურებდა.</w:t>
      </w:r>
    </w:p>
    <w:p w14:paraId="3C7E7ACA" w14:textId="77777777" w:rsidR="007971BD" w:rsidRPr="007971BD" w:rsidRDefault="007971BD"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p>
    <w:p w14:paraId="0B736DCC" w14:textId="6A4C62E9" w:rsidR="00A24AC1" w:rsidRPr="007971BD" w:rsidRDefault="00A24AC1" w:rsidP="007847FD">
      <w:pPr>
        <w:pStyle w:val="Heading3"/>
        <w:spacing w:before="0"/>
        <w:ind w:firstLine="284"/>
        <w:jc w:val="both"/>
        <w:rPr>
          <w:rFonts w:ascii="Sylfaen" w:hAnsi="Sylfaen"/>
          <w:b/>
          <w:bCs/>
          <w:color w:val="auto"/>
          <w:lang w:val="ka-GE"/>
        </w:rPr>
      </w:pPr>
      <w:r w:rsidRPr="007971BD">
        <w:rPr>
          <w:rFonts w:ascii="Sylfaen" w:hAnsi="Sylfaen"/>
          <w:b/>
          <w:bCs/>
          <w:color w:val="auto"/>
          <w:lang w:val="ka-GE"/>
        </w:rPr>
        <w:t xml:space="preserve">გ) საერთაშორისო </w:t>
      </w:r>
      <w:r w:rsidR="00705EEA">
        <w:rPr>
          <w:rFonts w:ascii="Sylfaen" w:hAnsi="Sylfaen"/>
          <w:b/>
          <w:bCs/>
          <w:color w:val="auto"/>
          <w:lang w:val="ka-GE"/>
        </w:rPr>
        <w:t xml:space="preserve">- </w:t>
      </w:r>
      <w:r w:rsidRPr="007971BD">
        <w:rPr>
          <w:rFonts w:ascii="Sylfaen" w:hAnsi="Sylfaen"/>
          <w:b/>
          <w:bCs/>
          <w:color w:val="auto"/>
          <w:lang w:val="ka-GE"/>
        </w:rPr>
        <w:t>სამართლებრივი ექსტერიერი</w:t>
      </w:r>
    </w:p>
    <w:p w14:paraId="2A68A44A" w14:textId="77777777" w:rsidR="00A24AC1" w:rsidRPr="007971BD" w:rsidRDefault="00A24AC1" w:rsidP="007847FD">
      <w:pPr>
        <w:pBdr>
          <w:top w:val="nil"/>
          <w:left w:val="nil"/>
          <w:bottom w:val="nil"/>
          <w:right w:val="nil"/>
          <w:between w:val="nil"/>
        </w:pBdr>
        <w:spacing w:after="0" w:line="276" w:lineRule="auto"/>
        <w:ind w:firstLine="284"/>
        <w:jc w:val="both"/>
        <w:rPr>
          <w:rFonts w:ascii="Sylfaen" w:eastAsia="Merriweather" w:hAnsi="Sylfaen" w:cs="Merriweather"/>
          <w:sz w:val="24"/>
          <w:szCs w:val="24"/>
          <w:lang w:val="ka-GE"/>
        </w:rPr>
      </w:pPr>
    </w:p>
    <w:p w14:paraId="180C219B" w14:textId="77777777" w:rsidR="00346E0C" w:rsidRPr="00346E0C" w:rsidRDefault="009630DF"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კიდევ ერთი კონტექსტი, რომელ</w:t>
      </w:r>
      <w:r w:rsidR="00A24AC1" w:rsidRPr="007971BD">
        <w:rPr>
          <w:rFonts w:ascii="Sylfaen" w:hAnsi="Sylfaen" w:cs="Sylfaen"/>
          <w:sz w:val="24"/>
          <w:szCs w:val="24"/>
          <w:lang w:val="ka-GE"/>
        </w:rPr>
        <w:t>საც</w:t>
      </w:r>
      <w:r w:rsidRPr="007971BD">
        <w:rPr>
          <w:rFonts w:ascii="Sylfaen" w:hAnsi="Sylfaen" w:cs="Sylfaen"/>
          <w:sz w:val="24"/>
          <w:szCs w:val="24"/>
          <w:lang w:val="ka-GE"/>
        </w:rPr>
        <w:t xml:space="preserve"> კარგი იქნებოდა, რომ </w:t>
      </w:r>
      <w:r w:rsidR="003B7E55" w:rsidRPr="007971BD">
        <w:rPr>
          <w:rFonts w:ascii="Sylfaen" w:hAnsi="Sylfaen" w:cs="Sylfaen"/>
          <w:sz w:val="24"/>
          <w:szCs w:val="24"/>
          <w:lang w:val="ka-GE"/>
        </w:rPr>
        <w:t>გადაწყვეტილება</w:t>
      </w:r>
      <w:r w:rsidRPr="007971BD">
        <w:rPr>
          <w:rFonts w:ascii="Sylfaen" w:hAnsi="Sylfaen" w:cs="Sylfaen"/>
          <w:sz w:val="24"/>
          <w:szCs w:val="24"/>
          <w:lang w:val="ka-GE"/>
        </w:rPr>
        <w:t xml:space="preserve"> შეხებოდა, უკავშირდება </w:t>
      </w:r>
      <w:r w:rsidR="002B0659" w:rsidRPr="007971BD">
        <w:rPr>
          <w:rFonts w:ascii="Sylfaen" w:hAnsi="Sylfaen" w:cs="Sylfaen"/>
          <w:sz w:val="24"/>
          <w:szCs w:val="24"/>
          <w:lang w:val="ka-GE"/>
        </w:rPr>
        <w:t xml:space="preserve">სხვა </w:t>
      </w:r>
      <w:r w:rsidRPr="007971BD">
        <w:rPr>
          <w:rFonts w:ascii="Sylfaen" w:hAnsi="Sylfaen" w:cs="Sylfaen"/>
          <w:sz w:val="24"/>
          <w:szCs w:val="24"/>
          <w:lang w:val="ka-GE"/>
        </w:rPr>
        <w:t xml:space="preserve">დემოკრატიული </w:t>
      </w:r>
      <w:r w:rsidR="002B0659" w:rsidRPr="007971BD">
        <w:rPr>
          <w:rFonts w:ascii="Sylfaen" w:hAnsi="Sylfaen" w:cs="Sylfaen"/>
          <w:sz w:val="24"/>
          <w:szCs w:val="24"/>
          <w:lang w:val="ka-GE"/>
        </w:rPr>
        <w:t xml:space="preserve">ქვეყნების </w:t>
      </w:r>
      <w:r w:rsidRPr="007971BD">
        <w:rPr>
          <w:rFonts w:ascii="Sylfaen" w:hAnsi="Sylfaen" w:cs="Sylfaen"/>
          <w:sz w:val="24"/>
          <w:szCs w:val="24"/>
          <w:lang w:val="ka-GE"/>
        </w:rPr>
        <w:t>პრაქტიკას</w:t>
      </w:r>
      <w:r w:rsidR="002B0659" w:rsidRPr="007971BD">
        <w:rPr>
          <w:rFonts w:ascii="Sylfaen" w:hAnsi="Sylfaen" w:cs="Sylfaen"/>
          <w:sz w:val="24"/>
          <w:szCs w:val="24"/>
          <w:lang w:val="ka-GE"/>
        </w:rPr>
        <w:t xml:space="preserve">, ისევე როგორც საერთაშორისო სასამართლოებში </w:t>
      </w:r>
      <w:r w:rsidRPr="007971BD">
        <w:rPr>
          <w:rFonts w:ascii="Sylfaen" w:hAnsi="Sylfaen" w:cs="Sylfaen"/>
          <w:sz w:val="24"/>
          <w:szCs w:val="24"/>
          <w:lang w:val="ka-GE"/>
        </w:rPr>
        <w:t>არსებულ</w:t>
      </w:r>
      <w:r w:rsidR="002B0659" w:rsidRPr="007971BD">
        <w:rPr>
          <w:rFonts w:ascii="Sylfaen" w:hAnsi="Sylfaen" w:cs="Sylfaen"/>
          <w:sz w:val="24"/>
          <w:szCs w:val="24"/>
          <w:lang w:val="ka-GE"/>
        </w:rPr>
        <w:t xml:space="preserve"> </w:t>
      </w:r>
      <w:r w:rsidRPr="007971BD">
        <w:rPr>
          <w:rFonts w:ascii="Sylfaen" w:hAnsi="Sylfaen" w:cs="Sylfaen"/>
          <w:sz w:val="24"/>
          <w:szCs w:val="24"/>
          <w:lang w:val="ka-GE"/>
        </w:rPr>
        <w:t>წესებს</w:t>
      </w:r>
      <w:r w:rsidR="002B0659" w:rsidRPr="007971BD">
        <w:rPr>
          <w:rFonts w:ascii="Sylfaen" w:hAnsi="Sylfaen" w:cs="Sylfaen"/>
          <w:sz w:val="24"/>
          <w:szCs w:val="24"/>
          <w:lang w:val="ka-GE"/>
        </w:rPr>
        <w:t xml:space="preserve">. </w:t>
      </w:r>
      <w:r w:rsidR="006E5419" w:rsidRPr="007971BD">
        <w:rPr>
          <w:rFonts w:ascii="Sylfaen" w:hAnsi="Sylfaen" w:cs="Sylfaen"/>
          <w:sz w:val="24"/>
          <w:szCs w:val="24"/>
          <w:lang w:val="ka-GE"/>
        </w:rPr>
        <w:t>ჩვეულებრივ, საქართველოს საკონსტიტუციო სასამართლო საფუძვლიანად იკვლევს ხოლმე შ</w:t>
      </w:r>
      <w:r w:rsidR="003B7E55" w:rsidRPr="007971BD">
        <w:rPr>
          <w:rFonts w:ascii="Sylfaen" w:hAnsi="Sylfaen" w:cs="Sylfaen"/>
          <w:sz w:val="24"/>
          <w:szCs w:val="24"/>
          <w:lang w:val="ka-GE"/>
        </w:rPr>
        <w:t>ე</w:t>
      </w:r>
      <w:r w:rsidR="006E5419" w:rsidRPr="007971BD">
        <w:rPr>
          <w:rFonts w:ascii="Sylfaen" w:hAnsi="Sylfaen" w:cs="Sylfaen"/>
          <w:sz w:val="24"/>
          <w:szCs w:val="24"/>
          <w:lang w:val="ka-GE"/>
        </w:rPr>
        <w:t xml:space="preserve">საბამის სფეროში საერთაშორისო მიდგომებსა და პრაქტიკას, თუმცა, წინამდებარე საქმეში ეს არ გაუკეთებია. </w:t>
      </w:r>
    </w:p>
    <w:p w14:paraId="0A84A6D5" w14:textId="79BFAEF9" w:rsidR="002A445F" w:rsidRPr="004F4500" w:rsidRDefault="00346E0C"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 xml:space="preserve">ცხადია, გერიატრიული ასაკი მთელს მსოფლიოში 65 წლის ასაკიდან იწყება, მაგრამ, როგორც ჩანს,  ამ ასაკს არ უკავშირებენ შრომითი უნარების  </w:t>
      </w:r>
      <w:r w:rsidR="008D0472">
        <w:rPr>
          <w:rFonts w:ascii="Sylfaen" w:hAnsi="Sylfaen" w:cs="Sylfaen"/>
          <w:sz w:val="24"/>
          <w:szCs w:val="24"/>
          <w:lang w:val="ka-GE"/>
        </w:rPr>
        <w:t>a priori</w:t>
      </w:r>
      <w:r w:rsidRPr="007971BD">
        <w:rPr>
          <w:rFonts w:ascii="Sylfaen" w:hAnsi="Sylfaen" w:cs="Sylfaen"/>
          <w:sz w:val="24"/>
          <w:szCs w:val="24"/>
          <w:lang w:val="ka-GE"/>
        </w:rPr>
        <w:t xml:space="preserve"> გაუარესებას, ანდა ისეთ</w:t>
      </w:r>
      <w:r>
        <w:rPr>
          <w:rFonts w:ascii="Sylfaen" w:hAnsi="Sylfaen" w:cs="Sylfaen"/>
          <w:sz w:val="24"/>
          <w:szCs w:val="24"/>
          <w:lang w:val="ka-GE"/>
        </w:rPr>
        <w:t>ი ხარისხით</w:t>
      </w:r>
      <w:r w:rsidRPr="007971BD">
        <w:rPr>
          <w:rFonts w:ascii="Sylfaen" w:hAnsi="Sylfaen" w:cs="Sylfaen"/>
          <w:sz w:val="24"/>
          <w:szCs w:val="24"/>
          <w:lang w:val="ka-GE"/>
        </w:rPr>
        <w:t xml:space="preserve"> გაუარესებას, რომელიც შეუძლებელს ხდის </w:t>
      </w:r>
      <w:r w:rsidRPr="007971BD">
        <w:rPr>
          <w:rFonts w:ascii="Sylfaen" w:hAnsi="Sylfaen" w:cs="Sylfaen"/>
          <w:sz w:val="24"/>
          <w:szCs w:val="24"/>
          <w:lang w:val="ka-GE"/>
        </w:rPr>
        <w:lastRenderedPageBreak/>
        <w:t xml:space="preserve">სამოსამართლო ფუნქციების ჯეროვნად განხორციელებას. </w:t>
      </w:r>
      <w:r w:rsidR="002B0659" w:rsidRPr="007971BD">
        <w:rPr>
          <w:rFonts w:ascii="Sylfaen" w:hAnsi="Sylfaen" w:cs="Sylfaen"/>
          <w:sz w:val="24"/>
          <w:szCs w:val="24"/>
          <w:lang w:val="ka-GE"/>
        </w:rPr>
        <w:t>მაგალითად,</w:t>
      </w:r>
      <w:r w:rsidR="003E4501" w:rsidRPr="007971BD">
        <w:rPr>
          <w:rFonts w:ascii="Sylfaen" w:hAnsi="Sylfaen" w:cs="Sylfaen"/>
          <w:sz w:val="24"/>
          <w:szCs w:val="24"/>
          <w:lang w:val="ka-GE"/>
        </w:rPr>
        <w:t xml:space="preserve"> ადამიანის </w:t>
      </w:r>
      <w:r w:rsidR="006E5419" w:rsidRPr="007971BD">
        <w:rPr>
          <w:rFonts w:ascii="Sylfaen" w:hAnsi="Sylfaen" w:cs="Sylfaen"/>
          <w:sz w:val="24"/>
          <w:szCs w:val="24"/>
          <w:lang w:val="ka-GE"/>
        </w:rPr>
        <w:t>უფლებათ</w:t>
      </w:r>
      <w:r w:rsidR="003E4501" w:rsidRPr="007971BD">
        <w:rPr>
          <w:rFonts w:ascii="Sylfaen" w:hAnsi="Sylfaen" w:cs="Sylfaen"/>
          <w:sz w:val="24"/>
          <w:szCs w:val="24"/>
          <w:lang w:val="ka-GE"/>
        </w:rPr>
        <w:t>ა ევროპული კონვენციის მე-15 ოქმით გადაწყდა, რომ</w:t>
      </w:r>
      <w:r w:rsidR="002B0659" w:rsidRPr="007971BD">
        <w:rPr>
          <w:rFonts w:ascii="Sylfaen" w:hAnsi="Sylfaen" w:cs="Sylfaen"/>
          <w:sz w:val="24"/>
          <w:szCs w:val="24"/>
          <w:lang w:val="ka-GE"/>
        </w:rPr>
        <w:t xml:space="preserve"> ადამიანის უფლებათა ევროპულ სასამართლოში 65 ასაკის მიღწეულ პირს არა თუ მხოლოდ შეუძლია მონაწილეობა მიიღოს ევროპული სასამართლოს მოსამართლის კონკურსში, არამედ, დაინიშნოს სრული 9 წლიანი ვადით და იმუშაოს ამ </w:t>
      </w:r>
      <w:r w:rsidR="002B0659" w:rsidRPr="008D0472">
        <w:rPr>
          <w:rFonts w:ascii="Sylfaen" w:hAnsi="Sylfaen" w:cs="Sylfaen"/>
          <w:sz w:val="24"/>
          <w:szCs w:val="24"/>
          <w:lang w:val="ka-GE"/>
        </w:rPr>
        <w:t xml:space="preserve">თანამდებობაზე 74 წლის ასაკამდე. </w:t>
      </w:r>
      <w:r w:rsidRPr="008D0472">
        <w:rPr>
          <w:rFonts w:ascii="Sylfaen" w:hAnsi="Sylfaen" w:cs="Sylfaen"/>
          <w:sz w:val="24"/>
          <w:szCs w:val="24"/>
          <w:lang w:val="ka-GE"/>
        </w:rPr>
        <w:t>ევროპის კავშირის მართლმსაჯულების სასამართლოში მოსამართლედ შეიძლება არჩეულ ი</w:t>
      </w:r>
      <w:r w:rsidR="001F02C9">
        <w:rPr>
          <w:rFonts w:ascii="Sylfaen" w:hAnsi="Sylfaen" w:cs="Sylfaen"/>
          <w:sz w:val="24"/>
          <w:szCs w:val="24"/>
          <w:lang w:val="ka-GE"/>
        </w:rPr>
        <w:t xml:space="preserve">ქნეს </w:t>
      </w:r>
      <w:r w:rsidRPr="008D0472">
        <w:rPr>
          <w:rFonts w:ascii="Sylfaen" w:hAnsi="Sylfaen" w:cs="Sylfaen"/>
          <w:sz w:val="24"/>
          <w:szCs w:val="24"/>
          <w:lang w:val="ka-GE"/>
        </w:rPr>
        <w:t>პირი, რომელსაც ჯერ არ შესრულებია 65 წელი, ხოლო მისი უფლებამოსილება შეწყდება 70 წლის ასაკის მიღწევისას.</w:t>
      </w:r>
      <w:r>
        <w:rPr>
          <w:rFonts w:ascii="Sylfaen" w:hAnsi="Sylfaen" w:cs="Sylfaen"/>
          <w:sz w:val="24"/>
          <w:szCs w:val="24"/>
          <w:lang w:val="ka-GE"/>
        </w:rPr>
        <w:t xml:space="preserve"> რაც შეეხება ეროვნულ სასამართლოებს, არსებული </w:t>
      </w:r>
      <w:r w:rsidR="00363D53" w:rsidRPr="007971BD">
        <w:rPr>
          <w:rFonts w:ascii="Sylfaen" w:hAnsi="Sylfaen" w:cs="Sylfaen"/>
          <w:sz w:val="24"/>
          <w:szCs w:val="24"/>
          <w:lang w:val="ka-GE"/>
        </w:rPr>
        <w:t xml:space="preserve">პრაქტიკა მოწმობს, რომ მართალია, არც თუ იშვიათია მოსამართლეთათვის 65 წლის საპენსიო ასაკის განსაზღვრა (მაგალითად, </w:t>
      </w:r>
      <w:r w:rsidR="00D609FB" w:rsidRPr="007971BD">
        <w:rPr>
          <w:rFonts w:ascii="Sylfaen" w:hAnsi="Sylfaen" w:cs="Sylfaen"/>
          <w:sz w:val="24"/>
          <w:szCs w:val="24"/>
          <w:lang w:val="ka-GE"/>
        </w:rPr>
        <w:t>ასეთი ქვეყნებია</w:t>
      </w:r>
      <w:r w:rsidR="00DC6EAA" w:rsidRPr="007971BD">
        <w:rPr>
          <w:rFonts w:ascii="Sylfaen" w:hAnsi="Sylfaen" w:cs="Sylfaen"/>
          <w:sz w:val="24"/>
          <w:szCs w:val="24"/>
          <w:lang w:val="ka-GE"/>
        </w:rPr>
        <w:t>:</w:t>
      </w:r>
      <w:r w:rsidR="00D609FB" w:rsidRPr="007971BD">
        <w:rPr>
          <w:rFonts w:ascii="Sylfaen" w:hAnsi="Sylfaen" w:cs="Sylfaen"/>
          <w:sz w:val="24"/>
          <w:szCs w:val="24"/>
          <w:lang w:val="ka-GE"/>
        </w:rPr>
        <w:t xml:space="preserve"> </w:t>
      </w:r>
      <w:r w:rsidR="00363D53" w:rsidRPr="007971BD">
        <w:rPr>
          <w:rFonts w:ascii="Sylfaen" w:hAnsi="Sylfaen" w:cs="Sylfaen"/>
          <w:sz w:val="24"/>
          <w:szCs w:val="24"/>
          <w:lang w:val="ka-GE"/>
        </w:rPr>
        <w:t>ავსტრია, შვეიცარია, ინდოეთი,  ბულგარეთი, ისლანდია, საბერძნეთი, მონტენეგრო),  თუმცა</w:t>
      </w:r>
      <w:r w:rsidR="002B0659" w:rsidRPr="007971BD">
        <w:rPr>
          <w:rFonts w:ascii="Sylfaen" w:hAnsi="Sylfaen" w:cs="Sylfaen"/>
          <w:sz w:val="24"/>
          <w:szCs w:val="24"/>
          <w:lang w:val="ka-GE"/>
        </w:rPr>
        <w:t xml:space="preserve"> </w:t>
      </w:r>
      <w:r w:rsidR="00363D53" w:rsidRPr="007971BD">
        <w:rPr>
          <w:rFonts w:ascii="Sylfaen" w:hAnsi="Sylfaen" w:cs="Sylfaen"/>
          <w:sz w:val="24"/>
          <w:szCs w:val="24"/>
          <w:lang w:val="ka-GE"/>
        </w:rPr>
        <w:t xml:space="preserve">გაცილებით ხშირია უფრო მაღალი ასაკის დაწესება: </w:t>
      </w:r>
      <w:r w:rsidR="00363D53" w:rsidRPr="007971BD">
        <w:rPr>
          <w:rFonts w:ascii="Sylfaen" w:hAnsi="Sylfaen" w:cs="Sylfaen"/>
          <w:b/>
          <w:sz w:val="24"/>
          <w:szCs w:val="24"/>
          <w:lang w:val="ka-GE"/>
        </w:rPr>
        <w:t>67 წელი</w:t>
      </w:r>
      <w:r w:rsidR="00363D53" w:rsidRPr="007971BD">
        <w:rPr>
          <w:rFonts w:ascii="Sylfaen" w:hAnsi="Sylfaen" w:cs="Sylfaen"/>
          <w:sz w:val="24"/>
          <w:szCs w:val="24"/>
          <w:lang w:val="ka-GE"/>
        </w:rPr>
        <w:t xml:space="preserve"> (გერმანია, იტალია</w:t>
      </w:r>
      <w:r w:rsidR="00DC6EAA" w:rsidRPr="007971BD">
        <w:rPr>
          <w:rFonts w:ascii="Sylfaen" w:hAnsi="Sylfaen" w:cs="Sylfaen"/>
          <w:sz w:val="24"/>
          <w:szCs w:val="24"/>
          <w:lang w:val="ka-GE"/>
        </w:rPr>
        <w:t>)</w:t>
      </w:r>
      <w:r w:rsidR="00363D53" w:rsidRPr="007971BD">
        <w:rPr>
          <w:rFonts w:ascii="Sylfaen" w:hAnsi="Sylfaen" w:cs="Sylfaen"/>
          <w:sz w:val="24"/>
          <w:szCs w:val="24"/>
          <w:lang w:val="ka-GE"/>
        </w:rPr>
        <w:t xml:space="preserve">,  </w:t>
      </w:r>
      <w:r w:rsidR="00363D53" w:rsidRPr="007971BD">
        <w:rPr>
          <w:rFonts w:ascii="Sylfaen" w:hAnsi="Sylfaen" w:cs="Sylfaen"/>
          <w:b/>
          <w:sz w:val="24"/>
          <w:szCs w:val="24"/>
          <w:lang w:val="ka-GE"/>
        </w:rPr>
        <w:t xml:space="preserve">70 წელი </w:t>
      </w:r>
      <w:r w:rsidR="00363D53" w:rsidRPr="007971BD">
        <w:rPr>
          <w:rFonts w:ascii="Sylfaen" w:hAnsi="Sylfaen" w:cs="Sylfaen"/>
          <w:sz w:val="24"/>
          <w:szCs w:val="24"/>
          <w:lang w:val="ka-GE"/>
        </w:rPr>
        <w:t xml:space="preserve">(დანია, ნორვეგია, ნიდერლანდები, ირლანდია,  იაპონია, ისრაელი), </w:t>
      </w:r>
      <w:r w:rsidR="00363D53" w:rsidRPr="007971BD">
        <w:rPr>
          <w:rFonts w:ascii="Sylfaen" w:hAnsi="Sylfaen" w:cs="Sylfaen"/>
          <w:b/>
          <w:sz w:val="24"/>
          <w:szCs w:val="24"/>
          <w:lang w:val="ka-GE"/>
        </w:rPr>
        <w:t>75 წელი</w:t>
      </w:r>
      <w:r w:rsidR="00363D53" w:rsidRPr="007971BD">
        <w:rPr>
          <w:rFonts w:ascii="Sylfaen" w:hAnsi="Sylfaen" w:cs="Sylfaen"/>
          <w:sz w:val="24"/>
          <w:szCs w:val="24"/>
          <w:lang w:val="ka-GE"/>
        </w:rPr>
        <w:t xml:space="preserve"> (გაერთიანებული სამეფო, ბრაზილია, კანადა)</w:t>
      </w:r>
      <w:r w:rsidR="0056546E" w:rsidRPr="007971BD">
        <w:rPr>
          <w:rFonts w:ascii="Sylfaen" w:hAnsi="Sylfaen" w:cs="Sylfaen"/>
          <w:sz w:val="24"/>
          <w:szCs w:val="24"/>
          <w:lang w:val="ka-GE"/>
        </w:rPr>
        <w:t>,</w:t>
      </w:r>
      <w:r w:rsidR="00077871" w:rsidRPr="007971BD">
        <w:rPr>
          <w:rFonts w:ascii="Sylfaen" w:hAnsi="Sylfaen" w:cs="Sylfaen"/>
          <w:sz w:val="24"/>
          <w:szCs w:val="24"/>
          <w:lang w:val="ka-GE"/>
        </w:rPr>
        <w:t xml:space="preserve"> </w:t>
      </w:r>
      <w:r w:rsidR="00077871" w:rsidRPr="007971BD">
        <w:rPr>
          <w:rFonts w:ascii="Sylfaen" w:hAnsi="Sylfaen" w:cs="Sylfaen"/>
          <w:b/>
          <w:sz w:val="24"/>
          <w:szCs w:val="24"/>
          <w:lang w:val="ka-GE"/>
        </w:rPr>
        <w:t>75 წელი, რომელიც შეიძლება კიდევ გახანგრძლივდეს 5 წლით</w:t>
      </w:r>
      <w:r w:rsidR="00077871" w:rsidRPr="007971BD">
        <w:rPr>
          <w:rFonts w:ascii="Sylfaen" w:hAnsi="Sylfaen" w:cs="Sylfaen"/>
          <w:sz w:val="24"/>
          <w:szCs w:val="24"/>
          <w:lang w:val="ka-GE"/>
        </w:rPr>
        <w:t xml:space="preserve"> (არგენტინა), </w:t>
      </w:r>
      <w:r w:rsidR="0056546E" w:rsidRPr="007971BD">
        <w:rPr>
          <w:rFonts w:ascii="Sylfaen" w:hAnsi="Sylfaen" w:cs="Sylfaen"/>
          <w:b/>
          <w:sz w:val="24"/>
          <w:szCs w:val="24"/>
          <w:lang w:val="ka-GE"/>
        </w:rPr>
        <w:t>უვადოდ</w:t>
      </w:r>
      <w:r w:rsidR="00077871" w:rsidRPr="007971BD">
        <w:rPr>
          <w:rFonts w:ascii="Sylfaen" w:hAnsi="Sylfaen" w:cs="Sylfaen"/>
          <w:b/>
          <w:sz w:val="24"/>
          <w:szCs w:val="24"/>
          <w:lang w:val="ka-GE"/>
        </w:rPr>
        <w:t>, ანუ სავალდებულო საპენსიო ბარიერის გარეშე</w:t>
      </w:r>
      <w:r w:rsidR="00077871" w:rsidRPr="007971BD">
        <w:rPr>
          <w:rFonts w:ascii="Sylfaen" w:hAnsi="Sylfaen" w:cs="Sylfaen"/>
          <w:sz w:val="24"/>
          <w:szCs w:val="24"/>
          <w:lang w:val="ka-GE"/>
        </w:rPr>
        <w:t xml:space="preserve"> (</w:t>
      </w:r>
      <w:r w:rsidR="0056546E" w:rsidRPr="007971BD">
        <w:rPr>
          <w:rFonts w:ascii="Sylfaen" w:hAnsi="Sylfaen" w:cs="Sylfaen"/>
          <w:sz w:val="24"/>
          <w:szCs w:val="24"/>
          <w:lang w:val="ka-GE"/>
        </w:rPr>
        <w:t xml:space="preserve">აშშ, საფრანგეთი). არსებობს </w:t>
      </w:r>
      <w:r w:rsidR="00D609FB" w:rsidRPr="007971BD">
        <w:rPr>
          <w:rFonts w:ascii="Sylfaen" w:hAnsi="Sylfaen" w:cs="Sylfaen"/>
          <w:sz w:val="24"/>
          <w:szCs w:val="24"/>
          <w:lang w:val="ka-GE"/>
        </w:rPr>
        <w:t>დი</w:t>
      </w:r>
      <w:r w:rsidR="0056546E" w:rsidRPr="007971BD">
        <w:rPr>
          <w:rFonts w:ascii="Sylfaen" w:hAnsi="Sylfaen" w:cs="Sylfaen"/>
          <w:sz w:val="24"/>
          <w:szCs w:val="24"/>
          <w:lang w:val="ka-GE"/>
        </w:rPr>
        <w:t xml:space="preserve">ფერენცირებული მიდგომებიც, როდესაც უმაღლესი ინსტანციის მოსამართლეებისათვის უფრო მაღალი ასაკობრივი ბარიერია </w:t>
      </w:r>
      <w:r w:rsidR="00077871" w:rsidRPr="007971BD">
        <w:rPr>
          <w:rFonts w:ascii="Sylfaen" w:hAnsi="Sylfaen" w:cs="Sylfaen"/>
          <w:sz w:val="24"/>
          <w:szCs w:val="24"/>
          <w:lang w:val="ka-GE"/>
        </w:rPr>
        <w:t>დაწესებული</w:t>
      </w:r>
      <w:r w:rsidR="0056546E" w:rsidRPr="007971BD">
        <w:rPr>
          <w:rFonts w:ascii="Sylfaen" w:hAnsi="Sylfaen" w:cs="Sylfaen"/>
          <w:sz w:val="24"/>
          <w:szCs w:val="24"/>
          <w:lang w:val="ka-GE"/>
        </w:rPr>
        <w:t xml:space="preserve"> ქვედა ინსტანციების </w:t>
      </w:r>
      <w:r w:rsidR="00077871" w:rsidRPr="007971BD">
        <w:rPr>
          <w:rFonts w:ascii="Sylfaen" w:hAnsi="Sylfaen" w:cs="Sylfaen"/>
          <w:sz w:val="24"/>
          <w:szCs w:val="24"/>
          <w:lang w:val="ka-GE"/>
        </w:rPr>
        <w:t>მოსამართლეებთ</w:t>
      </w:r>
      <w:r w:rsidR="0056546E" w:rsidRPr="007971BD">
        <w:rPr>
          <w:rFonts w:ascii="Sylfaen" w:hAnsi="Sylfaen" w:cs="Sylfaen"/>
          <w:sz w:val="24"/>
          <w:szCs w:val="24"/>
          <w:lang w:val="ka-GE"/>
        </w:rPr>
        <w:t>ან შედარებით (მაგალითად, სერბეთში დადგენილია შ</w:t>
      </w:r>
      <w:r w:rsidR="00077871" w:rsidRPr="007971BD">
        <w:rPr>
          <w:rFonts w:ascii="Sylfaen" w:hAnsi="Sylfaen" w:cs="Sylfaen"/>
          <w:sz w:val="24"/>
          <w:szCs w:val="24"/>
          <w:lang w:val="ka-GE"/>
        </w:rPr>
        <w:t>ე</w:t>
      </w:r>
      <w:r w:rsidR="0056546E" w:rsidRPr="007971BD">
        <w:rPr>
          <w:rFonts w:ascii="Sylfaen" w:hAnsi="Sylfaen" w:cs="Sylfaen"/>
          <w:sz w:val="24"/>
          <w:szCs w:val="24"/>
          <w:lang w:val="ka-GE"/>
        </w:rPr>
        <w:t xml:space="preserve">საბამისად, 65 და 67 წელი, </w:t>
      </w:r>
      <w:r w:rsidR="00077871" w:rsidRPr="007971BD">
        <w:rPr>
          <w:rFonts w:ascii="Sylfaen" w:hAnsi="Sylfaen" w:cs="Sylfaen"/>
          <w:sz w:val="24"/>
          <w:szCs w:val="24"/>
          <w:lang w:val="ka-GE"/>
        </w:rPr>
        <w:t xml:space="preserve">ბელგიაში 65 და 70 წელი, სლოვაკეთი- 67 და 72 წელი). </w:t>
      </w:r>
      <w:r w:rsidR="002B0659" w:rsidRPr="007971BD">
        <w:rPr>
          <w:rFonts w:ascii="Sylfaen" w:hAnsi="Sylfaen" w:cs="Sylfaen"/>
          <w:sz w:val="24"/>
          <w:szCs w:val="24"/>
          <w:lang w:val="ka-GE"/>
        </w:rPr>
        <w:t>კოლეგებს ცხადია, შე</w:t>
      </w:r>
      <w:r w:rsidR="009630DF" w:rsidRPr="007971BD">
        <w:rPr>
          <w:rFonts w:ascii="Sylfaen" w:hAnsi="Sylfaen" w:cs="Sylfaen"/>
          <w:sz w:val="24"/>
          <w:szCs w:val="24"/>
          <w:lang w:val="ka-GE"/>
        </w:rPr>
        <w:t>ე</w:t>
      </w:r>
      <w:r w:rsidR="002B0659" w:rsidRPr="007971BD">
        <w:rPr>
          <w:rFonts w:ascii="Sylfaen" w:hAnsi="Sylfaen" w:cs="Sylfaen"/>
          <w:sz w:val="24"/>
          <w:szCs w:val="24"/>
          <w:lang w:val="ka-GE"/>
        </w:rPr>
        <w:t xml:space="preserve">ძლოთ არ გაეთვალისწინებინათ უცხოური გამოცდილება, </w:t>
      </w:r>
      <w:r w:rsidR="001D41CA" w:rsidRPr="007971BD">
        <w:rPr>
          <w:rFonts w:ascii="Sylfaen" w:hAnsi="Sylfaen" w:cs="Sylfaen"/>
          <w:sz w:val="24"/>
          <w:szCs w:val="24"/>
          <w:lang w:val="ka-GE"/>
        </w:rPr>
        <w:t>რაც მათ შორის, იმასაც ადასტურებს, რომ მიდგომები განსხვავებულია და ამ სფეროში მართლაც ფართოა სახელმწიფოთა შ</w:t>
      </w:r>
      <w:r w:rsidR="00471AAB" w:rsidRPr="007971BD">
        <w:rPr>
          <w:rFonts w:ascii="Sylfaen" w:hAnsi="Sylfaen" w:cs="Sylfaen"/>
          <w:sz w:val="24"/>
          <w:szCs w:val="24"/>
          <w:lang w:val="ka-GE"/>
        </w:rPr>
        <w:t>ე</w:t>
      </w:r>
      <w:r w:rsidR="001D41CA" w:rsidRPr="007971BD">
        <w:rPr>
          <w:rFonts w:ascii="Sylfaen" w:hAnsi="Sylfaen" w:cs="Sylfaen"/>
          <w:sz w:val="24"/>
          <w:szCs w:val="24"/>
          <w:lang w:val="ka-GE"/>
        </w:rPr>
        <w:t>ფასების თავისუფლება. თუმცა</w:t>
      </w:r>
      <w:r w:rsidR="00D3692D">
        <w:rPr>
          <w:rFonts w:ascii="Sylfaen" w:hAnsi="Sylfaen" w:cs="Sylfaen"/>
          <w:sz w:val="24"/>
          <w:szCs w:val="24"/>
          <w:lang w:val="ka-GE"/>
        </w:rPr>
        <w:t xml:space="preserve">, </w:t>
      </w:r>
      <w:r w:rsidR="009630DF" w:rsidRPr="007971BD">
        <w:rPr>
          <w:rFonts w:ascii="Sylfaen" w:hAnsi="Sylfaen" w:cs="Sylfaen"/>
          <w:sz w:val="24"/>
          <w:szCs w:val="24"/>
          <w:lang w:val="ka-GE"/>
        </w:rPr>
        <w:t>საერთაშორისო პრაქტიკის</w:t>
      </w:r>
      <w:r w:rsidR="00D609FB" w:rsidRPr="007971BD">
        <w:rPr>
          <w:rFonts w:ascii="Sylfaen" w:hAnsi="Sylfaen" w:cs="Sylfaen"/>
          <w:sz w:val="24"/>
          <w:szCs w:val="24"/>
          <w:lang w:val="ka-GE"/>
        </w:rPr>
        <w:t>ა</w:t>
      </w:r>
      <w:r w:rsidR="001D41CA" w:rsidRPr="007971BD">
        <w:rPr>
          <w:rFonts w:ascii="Sylfaen" w:hAnsi="Sylfaen" w:cs="Sylfaen"/>
          <w:sz w:val="24"/>
          <w:szCs w:val="24"/>
          <w:lang w:val="ka-GE"/>
        </w:rPr>
        <w:t>თვის გვერდის ავლას,</w:t>
      </w:r>
      <w:r w:rsidR="00705EEA">
        <w:rPr>
          <w:rFonts w:ascii="Sylfaen" w:hAnsi="Sylfaen" w:cs="Sylfaen"/>
          <w:sz w:val="24"/>
          <w:szCs w:val="24"/>
          <w:lang w:val="ka-GE"/>
        </w:rPr>
        <w:t xml:space="preserve"> </w:t>
      </w:r>
      <w:r w:rsidR="001D41CA" w:rsidRPr="007971BD">
        <w:rPr>
          <w:rFonts w:ascii="Sylfaen" w:hAnsi="Sylfaen" w:cs="Sylfaen"/>
          <w:sz w:val="24"/>
          <w:szCs w:val="24"/>
          <w:lang w:val="ka-GE"/>
        </w:rPr>
        <w:t>აჯობებდა უფრო სიღ</w:t>
      </w:r>
      <w:r w:rsidR="00705EEA">
        <w:rPr>
          <w:rFonts w:ascii="Sylfaen" w:hAnsi="Sylfaen" w:cs="Sylfaen"/>
          <w:sz w:val="24"/>
          <w:szCs w:val="24"/>
          <w:lang w:val="ka-GE"/>
        </w:rPr>
        <w:t>რ</w:t>
      </w:r>
      <w:r w:rsidR="001D41CA" w:rsidRPr="007971BD">
        <w:rPr>
          <w:rFonts w:ascii="Sylfaen" w:hAnsi="Sylfaen" w:cs="Sylfaen"/>
          <w:sz w:val="24"/>
          <w:szCs w:val="24"/>
          <w:lang w:val="ka-GE"/>
        </w:rPr>
        <w:t xml:space="preserve">მისეულად გამოკვლეულიყო  </w:t>
      </w:r>
      <w:r w:rsidR="00D609FB" w:rsidRPr="007971BD">
        <w:rPr>
          <w:rFonts w:ascii="Sylfaen" w:hAnsi="Sylfaen" w:cs="Sylfaen"/>
          <w:sz w:val="24"/>
          <w:szCs w:val="24"/>
          <w:lang w:val="ka-GE"/>
        </w:rPr>
        <w:t xml:space="preserve"> დაწესებული ასაკობრივი ბარიერის </w:t>
      </w:r>
      <w:r w:rsidR="001D41CA" w:rsidRPr="007971BD">
        <w:rPr>
          <w:rFonts w:ascii="Sylfaen" w:hAnsi="Sylfaen" w:cs="Sylfaen"/>
          <w:sz w:val="24"/>
          <w:szCs w:val="24"/>
          <w:lang w:val="ka-GE"/>
        </w:rPr>
        <w:t>გონივრულობა,  ვიდრე</w:t>
      </w:r>
      <w:r w:rsidR="005B3319" w:rsidRPr="007971BD">
        <w:rPr>
          <w:rFonts w:ascii="Sylfaen" w:hAnsi="Sylfaen" w:cs="Sylfaen"/>
          <w:sz w:val="24"/>
          <w:szCs w:val="24"/>
          <w:lang w:val="ka-GE"/>
        </w:rPr>
        <w:t xml:space="preserve"> 65 წლის ასაკში  შრომითი უნარების გაუარესებაზე </w:t>
      </w:r>
      <w:r w:rsidR="00FA0B2D" w:rsidRPr="007971BD">
        <w:rPr>
          <w:rFonts w:ascii="Sylfaen" w:hAnsi="Sylfaen" w:cs="Sylfaen"/>
          <w:sz w:val="24"/>
          <w:szCs w:val="24"/>
          <w:lang w:val="ka-GE"/>
        </w:rPr>
        <w:t>გააკეთ</w:t>
      </w:r>
      <w:r w:rsidR="00705EEA">
        <w:rPr>
          <w:rFonts w:ascii="Sylfaen" w:hAnsi="Sylfaen" w:cs="Sylfaen"/>
          <w:sz w:val="24"/>
          <w:szCs w:val="24"/>
          <w:lang w:val="ka-GE"/>
        </w:rPr>
        <w:t>ე</w:t>
      </w:r>
      <w:r w:rsidR="00FA0B2D" w:rsidRPr="007971BD">
        <w:rPr>
          <w:rFonts w:ascii="Sylfaen" w:hAnsi="Sylfaen" w:cs="Sylfaen"/>
          <w:sz w:val="24"/>
          <w:szCs w:val="24"/>
          <w:lang w:val="ka-GE"/>
        </w:rPr>
        <w:t>ბდა სასამართლო</w:t>
      </w:r>
      <w:r w:rsidR="005B3319" w:rsidRPr="007971BD">
        <w:rPr>
          <w:rFonts w:ascii="Sylfaen" w:hAnsi="Sylfaen" w:cs="Sylfaen"/>
          <w:sz w:val="24"/>
          <w:szCs w:val="24"/>
          <w:lang w:val="ka-GE"/>
        </w:rPr>
        <w:t xml:space="preserve"> </w:t>
      </w:r>
      <w:r w:rsidR="00D609FB" w:rsidRPr="007971BD">
        <w:rPr>
          <w:rFonts w:ascii="Sylfaen" w:hAnsi="Sylfaen" w:cs="Sylfaen"/>
          <w:sz w:val="24"/>
          <w:szCs w:val="24"/>
          <w:lang w:val="ka-GE"/>
        </w:rPr>
        <w:t xml:space="preserve">მთელ </w:t>
      </w:r>
      <w:r w:rsidR="005B3319" w:rsidRPr="007971BD">
        <w:rPr>
          <w:rFonts w:ascii="Sylfaen" w:hAnsi="Sylfaen" w:cs="Sylfaen"/>
          <w:sz w:val="24"/>
          <w:szCs w:val="24"/>
          <w:lang w:val="ka-GE"/>
        </w:rPr>
        <w:t xml:space="preserve">ფოკუსირებას და მის საფუძველზე </w:t>
      </w:r>
      <w:r w:rsidR="00FA0B2D" w:rsidRPr="007971BD">
        <w:rPr>
          <w:rFonts w:ascii="Sylfaen" w:hAnsi="Sylfaen" w:cs="Sylfaen"/>
          <w:sz w:val="24"/>
          <w:szCs w:val="24"/>
          <w:lang w:val="ka-GE"/>
        </w:rPr>
        <w:t>დაადგენდა</w:t>
      </w:r>
      <w:r w:rsidR="005B3319" w:rsidRPr="007971BD">
        <w:rPr>
          <w:rFonts w:ascii="Sylfaen" w:hAnsi="Sylfaen" w:cs="Sylfaen"/>
          <w:sz w:val="24"/>
          <w:szCs w:val="24"/>
          <w:lang w:val="ka-GE"/>
        </w:rPr>
        <w:t xml:space="preserve"> </w:t>
      </w:r>
      <w:r w:rsidR="00D609FB" w:rsidRPr="007971BD">
        <w:rPr>
          <w:rFonts w:ascii="Sylfaen" w:hAnsi="Sylfaen" w:cs="Sylfaen"/>
          <w:sz w:val="24"/>
          <w:szCs w:val="24"/>
          <w:lang w:val="ka-GE"/>
        </w:rPr>
        <w:t xml:space="preserve">ამ </w:t>
      </w:r>
      <w:r w:rsidR="005B3319" w:rsidRPr="007971BD">
        <w:rPr>
          <w:rFonts w:ascii="Sylfaen" w:hAnsi="Sylfaen" w:cs="Sylfaen"/>
          <w:sz w:val="24"/>
          <w:szCs w:val="24"/>
          <w:lang w:val="ka-GE"/>
        </w:rPr>
        <w:t xml:space="preserve">ასაკობრივი ბარიერის </w:t>
      </w:r>
      <w:r w:rsidR="001D41CA" w:rsidRPr="007971BD">
        <w:rPr>
          <w:rFonts w:ascii="Sylfaen" w:hAnsi="Sylfaen" w:cs="Sylfaen"/>
          <w:sz w:val="24"/>
          <w:szCs w:val="24"/>
          <w:lang w:val="ka-GE"/>
        </w:rPr>
        <w:t>გამართლებ</w:t>
      </w:r>
      <w:r w:rsidR="005B3319" w:rsidRPr="007971BD">
        <w:rPr>
          <w:rFonts w:ascii="Sylfaen" w:hAnsi="Sylfaen" w:cs="Sylfaen"/>
          <w:sz w:val="24"/>
          <w:szCs w:val="24"/>
          <w:lang w:val="ka-GE"/>
        </w:rPr>
        <w:t xml:space="preserve">ულობას. </w:t>
      </w:r>
      <w:r w:rsidR="00FA0B2D" w:rsidRPr="007971BD">
        <w:rPr>
          <w:rFonts w:ascii="Sylfaen" w:hAnsi="Sylfaen" w:cs="Sylfaen"/>
          <w:sz w:val="24"/>
          <w:szCs w:val="24"/>
          <w:lang w:val="ka-GE"/>
        </w:rPr>
        <w:t>ეს კონტექსტი განსაკუთრებით აქტუალური იყო კონსტიტუციის 25-ე მუხლის ფარგლებში, რადგან აქ სასამართლოს   შედარებითში   კი არა, აბსოლუტურ განზომილებაში უნდა შეეფასებინა 65 წლის  სავალდებულ</w:t>
      </w:r>
      <w:r w:rsidR="00CA7226">
        <w:rPr>
          <w:rFonts w:ascii="Sylfaen" w:hAnsi="Sylfaen" w:cs="Sylfaen"/>
          <w:sz w:val="24"/>
          <w:szCs w:val="24"/>
          <w:lang w:val="ka-GE"/>
        </w:rPr>
        <w:t>ო</w:t>
      </w:r>
      <w:r w:rsidR="00FA0B2D" w:rsidRPr="007971BD">
        <w:rPr>
          <w:rFonts w:ascii="Sylfaen" w:hAnsi="Sylfaen" w:cs="Sylfaen"/>
          <w:sz w:val="24"/>
          <w:szCs w:val="24"/>
          <w:lang w:val="ka-GE"/>
        </w:rPr>
        <w:t xml:space="preserve"> საპენსიო ასაკის გონივრულობა საერთო სასამართლოების მოსამართლეებთან მიმართებაში.</w:t>
      </w:r>
    </w:p>
    <w:p w14:paraId="65F66312" w14:textId="77777777" w:rsidR="00471AAB" w:rsidRPr="007971BD" w:rsidRDefault="00471AAB" w:rsidP="007847FD">
      <w:pPr>
        <w:pBdr>
          <w:top w:val="nil"/>
          <w:left w:val="nil"/>
          <w:bottom w:val="nil"/>
          <w:right w:val="nil"/>
          <w:between w:val="nil"/>
        </w:pBdr>
        <w:spacing w:after="0" w:line="276" w:lineRule="auto"/>
        <w:ind w:firstLine="284"/>
        <w:jc w:val="both"/>
        <w:rPr>
          <w:rFonts w:ascii="Sylfaen" w:hAnsi="Sylfaen" w:cs="Sylfaen"/>
          <w:sz w:val="24"/>
          <w:szCs w:val="24"/>
          <w:lang w:val="ka-GE"/>
        </w:rPr>
      </w:pPr>
    </w:p>
    <w:p w14:paraId="38438434" w14:textId="7C03E712" w:rsidR="00471AAB" w:rsidRPr="006A3A18" w:rsidRDefault="00471AAB" w:rsidP="007847FD">
      <w:pPr>
        <w:pStyle w:val="Heading2"/>
        <w:numPr>
          <w:ilvl w:val="0"/>
          <w:numId w:val="7"/>
        </w:numPr>
        <w:ind w:left="0" w:firstLine="284"/>
        <w:jc w:val="both"/>
        <w:rPr>
          <w:rFonts w:ascii="Sylfaen" w:hAnsi="Sylfaen"/>
          <w:b/>
          <w:bCs/>
          <w:color w:val="auto"/>
          <w:sz w:val="24"/>
          <w:szCs w:val="24"/>
        </w:rPr>
      </w:pPr>
      <w:r w:rsidRPr="006A3A18">
        <w:rPr>
          <w:rFonts w:ascii="Sylfaen" w:hAnsi="Sylfaen"/>
          <w:b/>
          <w:bCs/>
          <w:color w:val="auto"/>
          <w:sz w:val="24"/>
          <w:szCs w:val="24"/>
        </w:rPr>
        <w:t>კონსტიტუციის მე-11 და 25-ე მუხლის კონტექსტში დასაბუთების ერთგვაროვნება</w:t>
      </w:r>
    </w:p>
    <w:p w14:paraId="067C347D" w14:textId="77777777" w:rsidR="00471AAB" w:rsidRPr="007971BD" w:rsidRDefault="00471AAB" w:rsidP="007847FD">
      <w:pPr>
        <w:pStyle w:val="ListParagraph"/>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p>
    <w:p w14:paraId="39A3B850" w14:textId="77777777" w:rsidR="00D3692D" w:rsidRDefault="00B17379"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7971BD">
        <w:rPr>
          <w:rFonts w:ascii="Sylfaen" w:hAnsi="Sylfaen" w:cs="Sylfaen"/>
          <w:sz w:val="24"/>
          <w:szCs w:val="24"/>
          <w:lang w:val="ka-GE"/>
        </w:rPr>
        <w:t xml:space="preserve">რამდენიმე სიტყვა იმის თაობაზე, რომ სადავო ნორმის </w:t>
      </w:r>
      <w:r w:rsidR="00E338EE" w:rsidRPr="007971BD">
        <w:rPr>
          <w:rFonts w:ascii="Sylfaen" w:hAnsi="Sylfaen" w:cs="Sylfaen"/>
          <w:sz w:val="24"/>
          <w:szCs w:val="24"/>
          <w:lang w:val="ka-GE"/>
        </w:rPr>
        <w:t>კონსტიტუციურობის დასაბუთება</w:t>
      </w:r>
      <w:r w:rsidR="00D609FB" w:rsidRPr="007971BD">
        <w:rPr>
          <w:rFonts w:ascii="Sylfaen" w:hAnsi="Sylfaen" w:cs="Sylfaen"/>
          <w:sz w:val="24"/>
          <w:szCs w:val="24"/>
          <w:lang w:val="ka-GE"/>
        </w:rPr>
        <w:t>, გადაწყვეტილების მიხედვით</w:t>
      </w:r>
      <w:r w:rsidR="00D3692D">
        <w:rPr>
          <w:rFonts w:ascii="Sylfaen" w:hAnsi="Sylfaen" w:cs="Sylfaen"/>
          <w:sz w:val="24"/>
          <w:szCs w:val="24"/>
          <w:lang w:val="ka-GE"/>
        </w:rPr>
        <w:t>,</w:t>
      </w:r>
      <w:r w:rsidR="00E338EE" w:rsidRPr="007971BD">
        <w:rPr>
          <w:rFonts w:ascii="Sylfaen" w:hAnsi="Sylfaen" w:cs="Sylfaen"/>
          <w:sz w:val="24"/>
          <w:szCs w:val="24"/>
          <w:lang w:val="ka-GE"/>
        </w:rPr>
        <w:t xml:space="preserve"> </w:t>
      </w:r>
      <w:r w:rsidRPr="007971BD">
        <w:rPr>
          <w:rFonts w:ascii="Sylfaen" w:hAnsi="Sylfaen" w:cs="Sylfaen"/>
          <w:sz w:val="24"/>
          <w:szCs w:val="24"/>
          <w:lang w:val="ka-GE"/>
        </w:rPr>
        <w:t xml:space="preserve">კონსტიტუციის მე-11 და 25-ე </w:t>
      </w:r>
      <w:r w:rsidR="00E338EE" w:rsidRPr="007971BD">
        <w:rPr>
          <w:rFonts w:ascii="Sylfaen" w:hAnsi="Sylfaen" w:cs="Sylfaen"/>
          <w:sz w:val="24"/>
          <w:szCs w:val="24"/>
          <w:lang w:val="ka-GE"/>
        </w:rPr>
        <w:lastRenderedPageBreak/>
        <w:t>მუხლებთან მიმართებაში სრულიად ერთგვაროვანია, მაშინ როდესაც</w:t>
      </w:r>
      <w:r w:rsidR="00D3692D">
        <w:rPr>
          <w:rFonts w:ascii="Sylfaen" w:hAnsi="Sylfaen" w:cs="Sylfaen"/>
          <w:sz w:val="24"/>
          <w:szCs w:val="24"/>
          <w:lang w:val="ka-GE"/>
        </w:rPr>
        <w:t>,</w:t>
      </w:r>
      <w:r w:rsidR="00E338EE" w:rsidRPr="007971BD">
        <w:rPr>
          <w:rFonts w:ascii="Sylfaen" w:hAnsi="Sylfaen" w:cs="Sylfaen"/>
          <w:sz w:val="24"/>
          <w:szCs w:val="24"/>
          <w:lang w:val="ka-GE"/>
        </w:rPr>
        <w:t xml:space="preserve"> პირველი კონტექსტი შედარებით მზომელობას გულისხმობს, მე-2 კი </w:t>
      </w:r>
      <w:r w:rsidR="00D609FB" w:rsidRPr="007971BD">
        <w:rPr>
          <w:rFonts w:ascii="Sylfaen" w:hAnsi="Sylfaen" w:cs="Sylfaen"/>
          <w:sz w:val="24"/>
          <w:szCs w:val="24"/>
          <w:lang w:val="ka-GE"/>
        </w:rPr>
        <w:t xml:space="preserve">- </w:t>
      </w:r>
      <w:r w:rsidR="00E338EE" w:rsidRPr="007971BD">
        <w:rPr>
          <w:rFonts w:ascii="Sylfaen" w:hAnsi="Sylfaen" w:cs="Sylfaen"/>
          <w:sz w:val="24"/>
          <w:szCs w:val="24"/>
          <w:lang w:val="ka-GE"/>
        </w:rPr>
        <w:t>აბსოლუ</w:t>
      </w:r>
      <w:r w:rsidR="00405D8E" w:rsidRPr="007971BD">
        <w:rPr>
          <w:rFonts w:ascii="Sylfaen" w:hAnsi="Sylfaen" w:cs="Sylfaen"/>
          <w:sz w:val="24"/>
          <w:szCs w:val="24"/>
          <w:lang w:val="ka-GE"/>
        </w:rPr>
        <w:t>ტურ განზომილებაში შეფასებას</w:t>
      </w:r>
      <w:r w:rsidR="00471AAB" w:rsidRPr="007971BD">
        <w:rPr>
          <w:rFonts w:ascii="Sylfaen" w:hAnsi="Sylfaen" w:cs="Sylfaen"/>
          <w:sz w:val="24"/>
          <w:szCs w:val="24"/>
          <w:lang w:val="ka-GE"/>
        </w:rPr>
        <w:t xml:space="preserve">: </w:t>
      </w:r>
      <w:r w:rsidR="00A0477E" w:rsidRPr="007971BD">
        <w:rPr>
          <w:rFonts w:ascii="Sylfaen" w:hAnsi="Sylfaen" w:cs="Sylfaen"/>
          <w:sz w:val="24"/>
          <w:szCs w:val="24"/>
          <w:lang w:val="ka-GE"/>
        </w:rPr>
        <w:t xml:space="preserve">კონსტიტუციის მე-11 მუხლის ფარგლებში, სასამართლო უნდა საუბრობდეს არა </w:t>
      </w:r>
      <w:r w:rsidR="00D3692D">
        <w:rPr>
          <w:rFonts w:ascii="Sylfaen" w:hAnsi="Sylfaen" w:cs="Sylfaen"/>
          <w:sz w:val="24"/>
          <w:szCs w:val="24"/>
          <w:lang w:val="ka-GE"/>
        </w:rPr>
        <w:t>„</w:t>
      </w:r>
      <w:r w:rsidR="00A0477E" w:rsidRPr="007971BD">
        <w:rPr>
          <w:rFonts w:ascii="Sylfaen" w:hAnsi="Sylfaen" w:cs="Sylfaen"/>
          <w:sz w:val="24"/>
          <w:szCs w:val="24"/>
          <w:lang w:val="ka-GE"/>
        </w:rPr>
        <w:t>უფლების შ</w:t>
      </w:r>
      <w:r w:rsidR="000140E6" w:rsidRPr="007971BD">
        <w:rPr>
          <w:rFonts w:ascii="Sylfaen" w:hAnsi="Sylfaen" w:cs="Sylfaen"/>
          <w:sz w:val="24"/>
          <w:szCs w:val="24"/>
          <w:lang w:val="ka-GE"/>
        </w:rPr>
        <w:t>ე</w:t>
      </w:r>
      <w:r w:rsidR="00A0477E" w:rsidRPr="007971BD">
        <w:rPr>
          <w:rFonts w:ascii="Sylfaen" w:hAnsi="Sylfaen" w:cs="Sylfaen"/>
          <w:sz w:val="24"/>
          <w:szCs w:val="24"/>
          <w:lang w:val="ka-GE"/>
        </w:rPr>
        <w:t>ზღუდვის ლეგიტიმურ მიზნებზე</w:t>
      </w:r>
      <w:r w:rsidR="00D3692D">
        <w:rPr>
          <w:rFonts w:ascii="Sylfaen" w:hAnsi="Sylfaen" w:cs="Sylfaen"/>
          <w:sz w:val="24"/>
          <w:szCs w:val="24"/>
          <w:lang w:val="ka-GE"/>
        </w:rPr>
        <w:t>“</w:t>
      </w:r>
      <w:r w:rsidR="00A0477E" w:rsidRPr="007971BD">
        <w:rPr>
          <w:rFonts w:ascii="Sylfaen" w:hAnsi="Sylfaen" w:cs="Sylfaen"/>
          <w:sz w:val="24"/>
          <w:szCs w:val="24"/>
          <w:lang w:val="ka-GE"/>
        </w:rPr>
        <w:t xml:space="preserve">, არამედ </w:t>
      </w:r>
      <w:r w:rsidR="00D3692D">
        <w:rPr>
          <w:rFonts w:ascii="Sylfaen" w:hAnsi="Sylfaen" w:cs="Sylfaen"/>
          <w:sz w:val="24"/>
          <w:szCs w:val="24"/>
          <w:lang w:val="ka-GE"/>
        </w:rPr>
        <w:t>„</w:t>
      </w:r>
      <w:r w:rsidR="000140E6" w:rsidRPr="007971BD">
        <w:rPr>
          <w:rFonts w:ascii="Sylfaen" w:hAnsi="Sylfaen" w:cs="Sylfaen"/>
          <w:sz w:val="24"/>
          <w:szCs w:val="24"/>
          <w:lang w:val="ka-GE"/>
        </w:rPr>
        <w:t>არსებით</w:t>
      </w:r>
      <w:r w:rsidR="00A0477E" w:rsidRPr="007971BD">
        <w:rPr>
          <w:rFonts w:ascii="Sylfaen" w:hAnsi="Sylfaen" w:cs="Sylfaen"/>
          <w:sz w:val="24"/>
          <w:szCs w:val="24"/>
          <w:lang w:val="ka-GE"/>
        </w:rPr>
        <w:t>ად თანასწორ სუბიექტებს შორის განსხვავებული მოპყრობის ლეგიტიმურ მიზნებზე</w:t>
      </w:r>
      <w:r w:rsidR="00D3692D">
        <w:rPr>
          <w:rFonts w:ascii="Sylfaen" w:hAnsi="Sylfaen" w:cs="Sylfaen"/>
          <w:sz w:val="24"/>
          <w:szCs w:val="24"/>
          <w:lang w:val="ka-GE"/>
        </w:rPr>
        <w:t>“</w:t>
      </w:r>
      <w:r w:rsidR="00471AAB" w:rsidRPr="007971BD">
        <w:rPr>
          <w:rFonts w:ascii="Sylfaen" w:hAnsi="Sylfaen" w:cs="Sylfaen"/>
          <w:sz w:val="24"/>
          <w:szCs w:val="24"/>
          <w:lang w:val="ka-GE"/>
        </w:rPr>
        <w:t xml:space="preserve"> </w:t>
      </w:r>
      <w:r w:rsidR="00D3692D">
        <w:rPr>
          <w:rFonts w:ascii="Sylfaen" w:hAnsi="Sylfaen" w:cs="Sylfaen"/>
          <w:sz w:val="24"/>
          <w:szCs w:val="24"/>
          <w:lang w:val="ka-GE"/>
        </w:rPr>
        <w:t xml:space="preserve">(1); </w:t>
      </w:r>
      <w:r w:rsidR="00471AAB" w:rsidRPr="007971BD">
        <w:rPr>
          <w:rFonts w:ascii="Sylfaen" w:hAnsi="Sylfaen" w:cs="Sylfaen"/>
          <w:sz w:val="24"/>
          <w:szCs w:val="24"/>
        </w:rPr>
        <w:t xml:space="preserve"> </w:t>
      </w:r>
      <w:r w:rsidR="00405D8E" w:rsidRPr="007971BD">
        <w:rPr>
          <w:rFonts w:ascii="Sylfaen" w:hAnsi="Sylfaen" w:cs="Sylfaen"/>
          <w:sz w:val="24"/>
          <w:szCs w:val="24"/>
          <w:lang w:val="ka-GE"/>
        </w:rPr>
        <w:t xml:space="preserve">სადავო ნორმის </w:t>
      </w:r>
      <w:r w:rsidR="00A0477E" w:rsidRPr="007971BD">
        <w:rPr>
          <w:rFonts w:ascii="Sylfaen" w:hAnsi="Sylfaen" w:cs="Sylfaen"/>
          <w:sz w:val="24"/>
          <w:szCs w:val="24"/>
          <w:lang w:val="ka-GE"/>
        </w:rPr>
        <w:t>კონ</w:t>
      </w:r>
      <w:r w:rsidR="00CA7226">
        <w:rPr>
          <w:rFonts w:ascii="Sylfaen" w:hAnsi="Sylfaen" w:cs="Sylfaen"/>
          <w:sz w:val="24"/>
          <w:szCs w:val="24"/>
          <w:lang w:val="ka-GE"/>
        </w:rPr>
        <w:t>ს</w:t>
      </w:r>
      <w:r w:rsidR="00A0477E" w:rsidRPr="007971BD">
        <w:rPr>
          <w:rFonts w:ascii="Sylfaen" w:hAnsi="Sylfaen" w:cs="Sylfaen"/>
          <w:sz w:val="24"/>
          <w:szCs w:val="24"/>
          <w:lang w:val="ka-GE"/>
        </w:rPr>
        <w:t>ტიტუციურობის შეფასებაც იმ გეგმ</w:t>
      </w:r>
      <w:r w:rsidR="000140E6" w:rsidRPr="007971BD">
        <w:rPr>
          <w:rFonts w:ascii="Sylfaen" w:hAnsi="Sylfaen" w:cs="Sylfaen"/>
          <w:sz w:val="24"/>
          <w:szCs w:val="24"/>
          <w:lang w:val="ka-GE"/>
        </w:rPr>
        <w:t>ით და ტერმინოლოგიით კი არ უნდა ხო</w:t>
      </w:r>
      <w:r w:rsidR="001C00D5">
        <w:rPr>
          <w:rFonts w:ascii="Sylfaen" w:hAnsi="Sylfaen" w:cs="Sylfaen"/>
          <w:sz w:val="24"/>
          <w:szCs w:val="24"/>
          <w:lang w:val="ka-GE"/>
        </w:rPr>
        <w:t>რ</w:t>
      </w:r>
      <w:r w:rsidR="000140E6" w:rsidRPr="007971BD">
        <w:rPr>
          <w:rFonts w:ascii="Sylfaen" w:hAnsi="Sylfaen" w:cs="Sylfaen"/>
          <w:sz w:val="24"/>
          <w:szCs w:val="24"/>
          <w:lang w:val="ka-GE"/>
        </w:rPr>
        <w:t xml:space="preserve">ციელდებოდეს, </w:t>
      </w:r>
      <w:r w:rsidR="00E338EE" w:rsidRPr="007971BD">
        <w:rPr>
          <w:rFonts w:ascii="Sylfaen" w:hAnsi="Sylfaen" w:cs="Sylfaen"/>
          <w:sz w:val="24"/>
          <w:szCs w:val="24"/>
          <w:lang w:val="ka-GE"/>
        </w:rPr>
        <w:t xml:space="preserve"> </w:t>
      </w:r>
      <w:r w:rsidR="00405D8E" w:rsidRPr="007971BD">
        <w:rPr>
          <w:rFonts w:ascii="Sylfaen" w:hAnsi="Sylfaen" w:cs="Sylfaen"/>
          <w:sz w:val="24"/>
          <w:szCs w:val="24"/>
          <w:lang w:val="ka-GE"/>
        </w:rPr>
        <w:t>„</w:t>
      </w:r>
      <w:r w:rsidR="000140E6" w:rsidRPr="007971BD">
        <w:rPr>
          <w:rFonts w:ascii="Sylfaen" w:hAnsi="Sylfaen" w:cs="Sylfaen"/>
          <w:sz w:val="24"/>
          <w:szCs w:val="24"/>
          <w:lang w:val="ka-GE"/>
        </w:rPr>
        <w:t>არის თუ არა შეზღუდვა პროპორციული ვიწრო გაგებით</w:t>
      </w:r>
      <w:r w:rsidR="00405D8E" w:rsidRPr="007971BD">
        <w:rPr>
          <w:rFonts w:ascii="Sylfaen" w:hAnsi="Sylfaen" w:cs="Sylfaen"/>
          <w:sz w:val="24"/>
          <w:szCs w:val="24"/>
          <w:lang w:val="ka-GE"/>
        </w:rPr>
        <w:t>“</w:t>
      </w:r>
      <w:r w:rsidR="000140E6" w:rsidRPr="007971BD">
        <w:rPr>
          <w:rFonts w:ascii="Sylfaen" w:hAnsi="Sylfaen" w:cs="Sylfaen"/>
          <w:sz w:val="24"/>
          <w:szCs w:val="24"/>
          <w:lang w:val="ka-GE"/>
        </w:rPr>
        <w:t xml:space="preserve">, </w:t>
      </w:r>
      <w:r w:rsidR="00405D8E" w:rsidRPr="007971BD">
        <w:rPr>
          <w:rFonts w:ascii="Sylfaen" w:hAnsi="Sylfaen" w:cs="Sylfaen"/>
          <w:sz w:val="24"/>
          <w:szCs w:val="24"/>
          <w:lang w:val="ka-GE"/>
        </w:rPr>
        <w:t>„</w:t>
      </w:r>
      <w:r w:rsidR="000140E6" w:rsidRPr="007971BD">
        <w:rPr>
          <w:rFonts w:ascii="Sylfaen" w:eastAsia="Merriweather" w:hAnsi="Sylfaen" w:cs="Merriweather"/>
          <w:sz w:val="24"/>
          <w:szCs w:val="24"/>
          <w:lang w:val="ka-GE"/>
        </w:rPr>
        <w:t xml:space="preserve">აღემატება თუ არა  </w:t>
      </w:r>
      <w:r w:rsidR="00A0477E" w:rsidRPr="007971BD">
        <w:rPr>
          <w:rFonts w:ascii="Sylfaen" w:eastAsia="Merriweather" w:hAnsi="Sylfaen" w:cs="Merriweather"/>
          <w:sz w:val="24"/>
          <w:szCs w:val="24"/>
          <w:lang w:val="ka-GE"/>
        </w:rPr>
        <w:t xml:space="preserve"> სადავო ნორმით დაცული ინტერესი, საკუთარი მნიშვნელობით, შეზღუდულ ინტერესს</w:t>
      </w:r>
      <w:r w:rsidR="00405D8E" w:rsidRPr="007971BD">
        <w:rPr>
          <w:rFonts w:ascii="Sylfaen" w:eastAsia="Merriweather" w:hAnsi="Sylfaen" w:cs="Merriweather"/>
          <w:sz w:val="24"/>
          <w:szCs w:val="24"/>
          <w:lang w:val="ka-GE"/>
        </w:rPr>
        <w:t>“</w:t>
      </w:r>
      <w:r w:rsidR="000140E6" w:rsidRPr="007971BD">
        <w:rPr>
          <w:rFonts w:ascii="Sylfaen" w:eastAsia="Merriweather" w:hAnsi="Sylfaen" w:cs="Merriweather"/>
          <w:sz w:val="24"/>
          <w:szCs w:val="24"/>
          <w:lang w:val="ka-GE"/>
        </w:rPr>
        <w:t>, ანდა,</w:t>
      </w:r>
      <w:r w:rsidR="00A0477E" w:rsidRPr="007971BD">
        <w:rPr>
          <w:rFonts w:ascii="Sylfaen" w:eastAsia="Merriweather" w:hAnsi="Sylfaen" w:cs="Merriweather"/>
          <w:sz w:val="24"/>
          <w:szCs w:val="24"/>
          <w:lang w:val="ka-GE"/>
        </w:rPr>
        <w:t xml:space="preserve">  </w:t>
      </w:r>
      <w:r w:rsidR="00405D8E" w:rsidRPr="007971BD">
        <w:rPr>
          <w:rFonts w:ascii="Sylfaen" w:eastAsia="Merriweather" w:hAnsi="Sylfaen" w:cs="Merriweather"/>
          <w:sz w:val="24"/>
          <w:szCs w:val="24"/>
          <w:lang w:val="ka-GE"/>
        </w:rPr>
        <w:t>„</w:t>
      </w:r>
      <w:r w:rsidR="000140E6" w:rsidRPr="007971BD">
        <w:rPr>
          <w:rFonts w:ascii="Sylfaen" w:eastAsia="Merriweather" w:hAnsi="Sylfaen" w:cs="Merriweather"/>
          <w:sz w:val="24"/>
          <w:szCs w:val="24"/>
          <w:lang w:val="ka-GE"/>
        </w:rPr>
        <w:t xml:space="preserve">არის თუ არა </w:t>
      </w:r>
      <w:r w:rsidR="00A0477E" w:rsidRPr="007971BD">
        <w:rPr>
          <w:rFonts w:ascii="Sylfaen" w:eastAsia="Merriweather" w:hAnsi="Sylfaen" w:cs="Merriweather"/>
          <w:sz w:val="24"/>
          <w:szCs w:val="24"/>
          <w:lang w:val="ka-GE"/>
        </w:rPr>
        <w:t>სადავო ნორმით დადგენილი უფლების შეზღუდვის ინტენსივობის ეფექტი იმ ხარისხის, რომ გადაწონოს გასაჩივრებული ნორმით დაცული ლეგიტიმური მიზნები</w:t>
      </w:r>
      <w:r w:rsidR="00405D8E" w:rsidRPr="007971BD">
        <w:rPr>
          <w:rFonts w:ascii="Sylfaen" w:eastAsia="Merriweather" w:hAnsi="Sylfaen" w:cs="Merriweather"/>
          <w:sz w:val="24"/>
          <w:szCs w:val="24"/>
          <w:lang w:val="ka-GE"/>
        </w:rPr>
        <w:t>“</w:t>
      </w:r>
      <w:r w:rsidR="000140E6" w:rsidRPr="007971BD">
        <w:rPr>
          <w:rFonts w:ascii="Sylfaen" w:eastAsia="Merriweather" w:hAnsi="Sylfaen" w:cs="Merriweather"/>
          <w:sz w:val="24"/>
          <w:szCs w:val="24"/>
          <w:lang w:val="ka-GE"/>
        </w:rPr>
        <w:t>, არამედ შ</w:t>
      </w:r>
      <w:r w:rsidR="00405D8E" w:rsidRPr="007971BD">
        <w:rPr>
          <w:rFonts w:ascii="Sylfaen" w:eastAsia="Merriweather" w:hAnsi="Sylfaen" w:cs="Merriweather"/>
          <w:sz w:val="24"/>
          <w:szCs w:val="24"/>
          <w:lang w:val="ka-GE"/>
        </w:rPr>
        <w:t>ე</w:t>
      </w:r>
      <w:r w:rsidR="000140E6" w:rsidRPr="007971BD">
        <w:rPr>
          <w:rFonts w:ascii="Sylfaen" w:eastAsia="Merriweather" w:hAnsi="Sylfaen" w:cs="Merriweather"/>
          <w:sz w:val="24"/>
          <w:szCs w:val="24"/>
          <w:lang w:val="ka-GE"/>
        </w:rPr>
        <w:t>დარებითი ასპექტებისათვის დამახასიათებელი სქემით და ტერმინოლოგიით</w:t>
      </w:r>
      <w:r w:rsidR="00405D8E" w:rsidRPr="007971BD">
        <w:rPr>
          <w:rFonts w:ascii="Sylfaen" w:eastAsia="Merriweather" w:hAnsi="Sylfaen" w:cs="Merriweather"/>
          <w:sz w:val="24"/>
          <w:szCs w:val="24"/>
          <w:lang w:val="ka-GE"/>
        </w:rPr>
        <w:t>, რომელშიც ასახული იქნება დისკრიმინაცი</w:t>
      </w:r>
      <w:r w:rsidR="00CA7226">
        <w:rPr>
          <w:rFonts w:ascii="Sylfaen" w:eastAsia="Merriweather" w:hAnsi="Sylfaen" w:cs="Merriweather"/>
          <w:sz w:val="24"/>
          <w:szCs w:val="24"/>
          <w:lang w:val="ka-GE"/>
        </w:rPr>
        <w:t>ა</w:t>
      </w:r>
      <w:r w:rsidR="00405D8E" w:rsidRPr="007971BD">
        <w:rPr>
          <w:rFonts w:ascii="Sylfaen" w:eastAsia="Merriweather" w:hAnsi="Sylfaen" w:cs="Merriweather"/>
          <w:sz w:val="24"/>
          <w:szCs w:val="24"/>
          <w:lang w:val="ka-GE"/>
        </w:rPr>
        <w:t>სთან დაკავშირებული სპეციფიკა</w:t>
      </w:r>
      <w:r w:rsidR="000140E6" w:rsidRPr="007971BD">
        <w:rPr>
          <w:rFonts w:ascii="Sylfaen" w:eastAsia="Merriweather" w:hAnsi="Sylfaen" w:cs="Merriweather"/>
          <w:sz w:val="24"/>
          <w:szCs w:val="24"/>
          <w:lang w:val="ka-GE"/>
        </w:rPr>
        <w:t xml:space="preserve">: არის თუ არა სახეზე განსხვავებული მოპყრობა, </w:t>
      </w:r>
      <w:r w:rsidR="00405D8E" w:rsidRPr="007971BD">
        <w:rPr>
          <w:rFonts w:ascii="Sylfaen" w:eastAsia="Merriweather" w:hAnsi="Sylfaen" w:cs="Merriweather"/>
          <w:sz w:val="24"/>
          <w:szCs w:val="24"/>
          <w:lang w:val="ka-GE"/>
        </w:rPr>
        <w:t>არია</w:t>
      </w:r>
      <w:r w:rsidR="000140E6" w:rsidRPr="007971BD">
        <w:rPr>
          <w:rFonts w:ascii="Sylfaen" w:eastAsia="Merriweather" w:hAnsi="Sylfaen" w:cs="Merriweather"/>
          <w:sz w:val="24"/>
          <w:szCs w:val="24"/>
          <w:lang w:val="ka-GE"/>
        </w:rPr>
        <w:t>ნ თუ არა შესადარებელი სუბიექტები არსებითად თანასწორი</w:t>
      </w:r>
      <w:r w:rsidR="00D609FB" w:rsidRPr="007971BD">
        <w:rPr>
          <w:rFonts w:ascii="Sylfaen" w:eastAsia="Merriweather" w:hAnsi="Sylfaen" w:cs="Merriweather"/>
          <w:sz w:val="24"/>
          <w:szCs w:val="24"/>
          <w:lang w:val="ka-GE"/>
        </w:rPr>
        <w:t xml:space="preserve"> </w:t>
      </w:r>
      <w:r w:rsidR="000140E6" w:rsidRPr="007971BD">
        <w:rPr>
          <w:rFonts w:ascii="Sylfaen" w:eastAsia="Merriweather" w:hAnsi="Sylfaen" w:cs="Merriweather"/>
          <w:sz w:val="24"/>
          <w:szCs w:val="24"/>
          <w:lang w:val="ka-GE"/>
        </w:rPr>
        <w:t xml:space="preserve">(ან იმყოფებიან თუ არა </w:t>
      </w:r>
      <w:r w:rsidR="00405D8E" w:rsidRPr="007971BD">
        <w:rPr>
          <w:rFonts w:ascii="Sylfaen" w:eastAsia="Merriweather" w:hAnsi="Sylfaen" w:cs="Merriweather"/>
          <w:sz w:val="24"/>
          <w:szCs w:val="24"/>
          <w:lang w:val="ka-GE"/>
        </w:rPr>
        <w:t>ერთგვარო</w:t>
      </w:r>
      <w:r w:rsidR="000140E6" w:rsidRPr="007971BD">
        <w:rPr>
          <w:rFonts w:ascii="Sylfaen" w:eastAsia="Merriweather" w:hAnsi="Sylfaen" w:cs="Merriweather"/>
          <w:sz w:val="24"/>
          <w:szCs w:val="24"/>
          <w:lang w:val="ka-GE"/>
        </w:rPr>
        <w:t>ვან ან მსგავს ვითარებაში) და არსებობს თუ არა განსხვავებული მოპყრობის ობიექტური და გონივრული გამართლება</w:t>
      </w:r>
      <w:r w:rsidR="00D3692D">
        <w:rPr>
          <w:rFonts w:ascii="Sylfaen" w:eastAsia="Merriweather" w:hAnsi="Sylfaen" w:cs="Merriweather"/>
          <w:sz w:val="24"/>
          <w:szCs w:val="24"/>
          <w:lang w:val="ka-GE"/>
        </w:rPr>
        <w:t xml:space="preserve"> (2)</w:t>
      </w:r>
      <w:r w:rsidR="000140E6" w:rsidRPr="007971BD">
        <w:rPr>
          <w:rFonts w:ascii="Sylfaen" w:eastAsia="Merriweather" w:hAnsi="Sylfaen" w:cs="Merriweather"/>
          <w:sz w:val="24"/>
          <w:szCs w:val="24"/>
          <w:lang w:val="ka-GE"/>
        </w:rPr>
        <w:t xml:space="preserve">. </w:t>
      </w:r>
    </w:p>
    <w:p w14:paraId="206B05AB" w14:textId="0E7B7071" w:rsidR="00B17379" w:rsidRPr="002A445F" w:rsidRDefault="000140E6" w:rsidP="007847FD">
      <w:pPr>
        <w:pStyle w:val="ListParagraph"/>
        <w:numPr>
          <w:ilvl w:val="0"/>
          <w:numId w:val="5"/>
        </w:numPr>
        <w:pBdr>
          <w:top w:val="nil"/>
          <w:left w:val="nil"/>
          <w:bottom w:val="nil"/>
          <w:right w:val="nil"/>
          <w:between w:val="nil"/>
        </w:pBdr>
        <w:spacing w:after="0" w:line="276" w:lineRule="auto"/>
        <w:ind w:left="0" w:firstLine="284"/>
        <w:jc w:val="both"/>
        <w:rPr>
          <w:rFonts w:ascii="Sylfaen" w:eastAsia="Merriweather" w:hAnsi="Sylfaen" w:cs="Merriweather"/>
          <w:sz w:val="24"/>
          <w:szCs w:val="24"/>
          <w:lang w:val="ka-GE"/>
        </w:rPr>
      </w:pPr>
      <w:r w:rsidRPr="002A445F">
        <w:rPr>
          <w:rFonts w:ascii="Sylfaen" w:eastAsia="Merriweather" w:hAnsi="Sylfaen" w:cs="Merriweather"/>
          <w:sz w:val="24"/>
          <w:szCs w:val="24"/>
          <w:lang w:val="ka-GE"/>
        </w:rPr>
        <w:t xml:space="preserve">თანასწორობის </w:t>
      </w:r>
      <w:r w:rsidR="00405D8E" w:rsidRPr="002A445F">
        <w:rPr>
          <w:rFonts w:ascii="Sylfaen" w:eastAsia="Merriweather" w:hAnsi="Sylfaen" w:cs="Merriweather"/>
          <w:sz w:val="24"/>
          <w:szCs w:val="24"/>
          <w:lang w:val="ka-GE"/>
        </w:rPr>
        <w:t>უფლებასთ</w:t>
      </w:r>
      <w:r w:rsidRPr="002A445F">
        <w:rPr>
          <w:rFonts w:ascii="Sylfaen" w:eastAsia="Merriweather" w:hAnsi="Sylfaen" w:cs="Merriweather"/>
          <w:sz w:val="24"/>
          <w:szCs w:val="24"/>
          <w:lang w:val="ka-GE"/>
        </w:rPr>
        <w:t xml:space="preserve">ან </w:t>
      </w:r>
      <w:r w:rsidR="00405D8E" w:rsidRPr="002A445F">
        <w:rPr>
          <w:rFonts w:ascii="Sylfaen" w:eastAsia="Merriweather" w:hAnsi="Sylfaen" w:cs="Merriweather"/>
          <w:sz w:val="24"/>
          <w:szCs w:val="24"/>
          <w:lang w:val="ka-GE"/>
        </w:rPr>
        <w:t>მიმართ</w:t>
      </w:r>
      <w:r w:rsidRPr="002A445F">
        <w:rPr>
          <w:rFonts w:ascii="Sylfaen" w:eastAsia="Merriweather" w:hAnsi="Sylfaen" w:cs="Merriweather"/>
          <w:sz w:val="24"/>
          <w:szCs w:val="24"/>
          <w:lang w:val="ka-GE"/>
        </w:rPr>
        <w:t xml:space="preserve">ებაში დასაბუთების </w:t>
      </w:r>
      <w:r w:rsidR="00405D8E" w:rsidRPr="002A445F">
        <w:rPr>
          <w:rFonts w:ascii="Sylfaen" w:eastAsia="Merriweather" w:hAnsi="Sylfaen" w:cs="Merriweather"/>
          <w:sz w:val="24"/>
          <w:szCs w:val="24"/>
          <w:lang w:val="ka-GE"/>
        </w:rPr>
        <w:t>არა</w:t>
      </w:r>
      <w:r w:rsidRPr="002A445F">
        <w:rPr>
          <w:rFonts w:ascii="Sylfaen" w:eastAsia="Merriweather" w:hAnsi="Sylfaen" w:cs="Merriweather"/>
          <w:sz w:val="24"/>
          <w:szCs w:val="24"/>
          <w:lang w:val="ka-GE"/>
        </w:rPr>
        <w:t>სწორ სქემაზე</w:t>
      </w:r>
      <w:r w:rsidR="00405D8E" w:rsidRPr="002A445F">
        <w:rPr>
          <w:rFonts w:ascii="Sylfaen" w:eastAsia="Merriweather" w:hAnsi="Sylfaen" w:cs="Merriweather"/>
          <w:sz w:val="24"/>
          <w:szCs w:val="24"/>
          <w:lang w:val="ka-GE"/>
        </w:rPr>
        <w:t>, რაც</w:t>
      </w:r>
      <w:r w:rsidR="00D3692D" w:rsidRPr="002A445F">
        <w:rPr>
          <w:rFonts w:ascii="Sylfaen" w:eastAsia="Merriweather" w:hAnsi="Sylfaen" w:cs="Merriweather"/>
          <w:sz w:val="24"/>
          <w:szCs w:val="24"/>
          <w:lang w:val="ka-GE"/>
        </w:rPr>
        <w:t>,</w:t>
      </w:r>
      <w:r w:rsidR="00405D8E" w:rsidRPr="002A445F">
        <w:rPr>
          <w:rFonts w:ascii="Sylfaen" w:eastAsia="Merriweather" w:hAnsi="Sylfaen" w:cs="Merriweather"/>
          <w:sz w:val="24"/>
          <w:szCs w:val="24"/>
          <w:lang w:val="ka-GE"/>
        </w:rPr>
        <w:t xml:space="preserve"> სამწუხაროდ</w:t>
      </w:r>
      <w:r w:rsidR="00D3692D" w:rsidRPr="002A445F">
        <w:rPr>
          <w:rFonts w:ascii="Sylfaen" w:eastAsia="Merriweather" w:hAnsi="Sylfaen" w:cs="Merriweather"/>
          <w:sz w:val="24"/>
          <w:szCs w:val="24"/>
          <w:lang w:val="ka-GE"/>
        </w:rPr>
        <w:t>,</w:t>
      </w:r>
      <w:r w:rsidR="00405D8E" w:rsidRPr="002A445F">
        <w:rPr>
          <w:rFonts w:ascii="Sylfaen" w:eastAsia="Merriweather" w:hAnsi="Sylfaen" w:cs="Merriweather"/>
          <w:sz w:val="24"/>
          <w:szCs w:val="24"/>
          <w:lang w:val="ka-GE"/>
        </w:rPr>
        <w:t xml:space="preserve"> დანერგილია საკონსტიტუციო სასამართლოს პრაქტიკაში, </w:t>
      </w:r>
      <w:r w:rsidRPr="002A445F">
        <w:rPr>
          <w:rFonts w:ascii="Sylfaen" w:eastAsia="Merriweather" w:hAnsi="Sylfaen" w:cs="Merriweather"/>
          <w:sz w:val="24"/>
          <w:szCs w:val="24"/>
          <w:lang w:val="ka-GE"/>
        </w:rPr>
        <w:t xml:space="preserve">ადრეც მაქვს ჩემი პოზიცია </w:t>
      </w:r>
      <w:r w:rsidR="00D3692D" w:rsidRPr="002A445F">
        <w:rPr>
          <w:rFonts w:ascii="Sylfaen" w:eastAsia="Merriweather" w:hAnsi="Sylfaen" w:cs="Merriweather"/>
          <w:sz w:val="24"/>
          <w:szCs w:val="24"/>
          <w:lang w:val="ka-GE"/>
        </w:rPr>
        <w:t>გამოთქმ</w:t>
      </w:r>
      <w:r w:rsidRPr="002A445F">
        <w:rPr>
          <w:rFonts w:ascii="Sylfaen" w:eastAsia="Merriweather" w:hAnsi="Sylfaen" w:cs="Merriweather"/>
          <w:sz w:val="24"/>
          <w:szCs w:val="24"/>
          <w:lang w:val="ka-GE"/>
        </w:rPr>
        <w:t>ული, თანაც უფრო სიღ</w:t>
      </w:r>
      <w:r w:rsidR="00CA7226" w:rsidRPr="002A445F">
        <w:rPr>
          <w:rFonts w:ascii="Sylfaen" w:eastAsia="Merriweather" w:hAnsi="Sylfaen" w:cs="Merriweather"/>
          <w:sz w:val="24"/>
          <w:szCs w:val="24"/>
          <w:lang w:val="ka-GE"/>
        </w:rPr>
        <w:t>რ</w:t>
      </w:r>
      <w:r w:rsidRPr="002A445F">
        <w:rPr>
          <w:rFonts w:ascii="Sylfaen" w:eastAsia="Merriweather" w:hAnsi="Sylfaen" w:cs="Merriweather"/>
          <w:sz w:val="24"/>
          <w:szCs w:val="24"/>
          <w:lang w:val="ka-GE"/>
        </w:rPr>
        <w:t>მისეულად და დაწვრილებით, ამიტომ მასზე ამჯერად მეტს არ შევჩერდები.</w:t>
      </w:r>
      <w:r w:rsidRPr="002A445F">
        <w:rPr>
          <w:rStyle w:val="FootnoteReference"/>
          <w:rFonts w:ascii="Sylfaen" w:eastAsia="Merriweather" w:hAnsi="Sylfaen" w:cs="Merriweather"/>
          <w:sz w:val="24"/>
          <w:szCs w:val="24"/>
          <w:lang w:val="ka-GE"/>
        </w:rPr>
        <w:footnoteReference w:id="5"/>
      </w:r>
      <w:r w:rsidRPr="002A445F">
        <w:rPr>
          <w:rFonts w:ascii="Sylfaen" w:eastAsia="Merriweather" w:hAnsi="Sylfaen" w:cs="Merriweather"/>
          <w:sz w:val="24"/>
          <w:szCs w:val="24"/>
          <w:lang w:val="ka-GE"/>
        </w:rPr>
        <w:t xml:space="preserve"> </w:t>
      </w:r>
    </w:p>
    <w:p w14:paraId="5BDAEF83" w14:textId="77777777" w:rsidR="00C87CB8" w:rsidRDefault="00C87CB8" w:rsidP="007847FD">
      <w:pPr>
        <w:pStyle w:val="ListParagraph"/>
        <w:pBdr>
          <w:top w:val="nil"/>
          <w:left w:val="nil"/>
          <w:bottom w:val="nil"/>
          <w:right w:val="nil"/>
          <w:between w:val="nil"/>
        </w:pBdr>
        <w:spacing w:after="0" w:line="276" w:lineRule="auto"/>
        <w:ind w:left="360" w:firstLine="284"/>
        <w:jc w:val="both"/>
        <w:rPr>
          <w:rFonts w:ascii="Sylfaen" w:eastAsia="Merriweather" w:hAnsi="Sylfaen" w:cs="Merriweather"/>
          <w:sz w:val="24"/>
          <w:szCs w:val="24"/>
          <w:lang w:val="ka-GE"/>
        </w:rPr>
      </w:pPr>
    </w:p>
    <w:p w14:paraId="5A62252F" w14:textId="77777777" w:rsidR="00C87CB8" w:rsidRDefault="00C87CB8" w:rsidP="007847FD">
      <w:pPr>
        <w:pStyle w:val="ListParagraph"/>
        <w:pBdr>
          <w:top w:val="nil"/>
          <w:left w:val="nil"/>
          <w:bottom w:val="nil"/>
          <w:right w:val="nil"/>
          <w:between w:val="nil"/>
        </w:pBdr>
        <w:spacing w:after="0" w:line="276" w:lineRule="auto"/>
        <w:ind w:left="360" w:firstLine="284"/>
        <w:jc w:val="both"/>
        <w:rPr>
          <w:rFonts w:ascii="Sylfaen" w:eastAsia="Merriweather" w:hAnsi="Sylfaen" w:cs="Merriweather"/>
          <w:sz w:val="24"/>
          <w:szCs w:val="24"/>
          <w:lang w:val="ka-GE"/>
        </w:rPr>
      </w:pPr>
    </w:p>
    <w:p w14:paraId="6E3FB10E" w14:textId="457FE52E" w:rsidR="00C87CB8" w:rsidRPr="00C87CB8" w:rsidRDefault="00C87CB8" w:rsidP="007847FD">
      <w:pPr>
        <w:pStyle w:val="ListParagraph"/>
        <w:pBdr>
          <w:top w:val="nil"/>
          <w:left w:val="nil"/>
          <w:bottom w:val="nil"/>
          <w:right w:val="nil"/>
          <w:between w:val="nil"/>
        </w:pBdr>
        <w:spacing w:after="0" w:line="276" w:lineRule="auto"/>
        <w:ind w:left="360" w:firstLine="284"/>
        <w:jc w:val="both"/>
        <w:rPr>
          <w:rFonts w:ascii="Sylfaen" w:eastAsia="Merriweather" w:hAnsi="Sylfaen" w:cs="Merriweather"/>
          <w:b/>
          <w:bCs/>
          <w:sz w:val="24"/>
          <w:szCs w:val="24"/>
          <w:lang w:val="ka-GE"/>
        </w:rPr>
      </w:pPr>
      <w:r w:rsidRPr="00C87CB8">
        <w:rPr>
          <w:rFonts w:ascii="Sylfaen" w:eastAsia="Merriweather" w:hAnsi="Sylfaen" w:cs="Merriweather"/>
          <w:b/>
          <w:bCs/>
          <w:sz w:val="24"/>
          <w:szCs w:val="24"/>
          <w:lang w:val="ka-GE"/>
        </w:rPr>
        <w:t>საკონსტიტუციო სასამართლოს მოსამარ</w:t>
      </w:r>
      <w:r>
        <w:rPr>
          <w:rFonts w:ascii="Sylfaen" w:eastAsia="Merriweather" w:hAnsi="Sylfaen" w:cs="Merriweather"/>
          <w:b/>
          <w:bCs/>
          <w:sz w:val="24"/>
          <w:szCs w:val="24"/>
          <w:lang w:val="ka-GE"/>
        </w:rPr>
        <w:t>თ</w:t>
      </w:r>
      <w:r w:rsidRPr="00C87CB8">
        <w:rPr>
          <w:rFonts w:ascii="Sylfaen" w:eastAsia="Merriweather" w:hAnsi="Sylfaen" w:cs="Merriweather"/>
          <w:b/>
          <w:bCs/>
          <w:sz w:val="24"/>
          <w:szCs w:val="24"/>
          <w:lang w:val="ka-GE"/>
        </w:rPr>
        <w:t>ლე</w:t>
      </w:r>
    </w:p>
    <w:p w14:paraId="6A4F945D" w14:textId="77777777" w:rsidR="00C87CB8" w:rsidRPr="00C87CB8" w:rsidRDefault="00C87CB8" w:rsidP="007847FD">
      <w:pPr>
        <w:pStyle w:val="ListParagraph"/>
        <w:pBdr>
          <w:top w:val="nil"/>
          <w:left w:val="nil"/>
          <w:bottom w:val="nil"/>
          <w:right w:val="nil"/>
          <w:between w:val="nil"/>
        </w:pBdr>
        <w:spacing w:after="0" w:line="276" w:lineRule="auto"/>
        <w:ind w:left="360" w:firstLine="284"/>
        <w:jc w:val="both"/>
        <w:rPr>
          <w:rFonts w:ascii="Sylfaen" w:eastAsia="Merriweather" w:hAnsi="Sylfaen" w:cs="Merriweather"/>
          <w:b/>
          <w:bCs/>
          <w:sz w:val="24"/>
          <w:szCs w:val="24"/>
          <w:lang w:val="ka-GE"/>
        </w:rPr>
      </w:pPr>
    </w:p>
    <w:p w14:paraId="17856A79" w14:textId="71D0A41E" w:rsidR="00C87CB8" w:rsidRPr="00C87CB8" w:rsidRDefault="00C87CB8" w:rsidP="007847FD">
      <w:pPr>
        <w:pStyle w:val="ListParagraph"/>
        <w:pBdr>
          <w:top w:val="nil"/>
          <w:left w:val="nil"/>
          <w:bottom w:val="nil"/>
          <w:right w:val="nil"/>
          <w:between w:val="nil"/>
        </w:pBdr>
        <w:spacing w:after="0" w:line="276" w:lineRule="auto"/>
        <w:ind w:left="360" w:firstLine="284"/>
        <w:jc w:val="both"/>
        <w:rPr>
          <w:rFonts w:ascii="Sylfaen" w:eastAsia="Merriweather" w:hAnsi="Sylfaen" w:cs="Merriweather"/>
          <w:b/>
          <w:bCs/>
          <w:sz w:val="24"/>
          <w:szCs w:val="24"/>
          <w:lang w:val="ka-GE"/>
        </w:rPr>
      </w:pPr>
      <w:r w:rsidRPr="00C87CB8">
        <w:rPr>
          <w:rFonts w:ascii="Sylfaen" w:eastAsia="Merriweather" w:hAnsi="Sylfaen" w:cs="Merriweather"/>
          <w:b/>
          <w:bCs/>
          <w:sz w:val="24"/>
          <w:szCs w:val="24"/>
          <w:lang w:val="ka-GE"/>
        </w:rPr>
        <w:t>ევა გოცირიძე</w:t>
      </w:r>
    </w:p>
    <w:p w14:paraId="44C53262" w14:textId="77777777" w:rsidR="00FA0B2D" w:rsidRPr="007971BD" w:rsidRDefault="00FA0B2D" w:rsidP="007847FD">
      <w:pPr>
        <w:ind w:firstLine="284"/>
        <w:jc w:val="both"/>
        <w:rPr>
          <w:rFonts w:ascii="Sylfaen" w:hAnsi="Sylfaen" w:cs="Sylfaen"/>
          <w:sz w:val="24"/>
          <w:szCs w:val="24"/>
          <w:lang w:val="ka-GE"/>
        </w:rPr>
      </w:pPr>
    </w:p>
    <w:p w14:paraId="5C2ABB75" w14:textId="77777777" w:rsidR="00FA0B2D" w:rsidRPr="007971BD" w:rsidRDefault="00FA0B2D" w:rsidP="007847FD">
      <w:pPr>
        <w:ind w:firstLine="284"/>
        <w:jc w:val="both"/>
        <w:rPr>
          <w:rFonts w:ascii="Sylfaen" w:hAnsi="Sylfaen" w:cs="Sylfaen"/>
          <w:sz w:val="24"/>
          <w:szCs w:val="24"/>
          <w:lang w:val="ka-GE"/>
        </w:rPr>
      </w:pPr>
    </w:p>
    <w:p w14:paraId="6E6659E2" w14:textId="77777777" w:rsidR="002B0659" w:rsidRPr="007971BD" w:rsidRDefault="002B0659" w:rsidP="007847FD">
      <w:pPr>
        <w:pStyle w:val="ListParagraph"/>
        <w:ind w:left="630" w:firstLine="284"/>
        <w:jc w:val="both"/>
        <w:rPr>
          <w:rFonts w:ascii="Sylfaen" w:hAnsi="Sylfaen"/>
          <w:sz w:val="24"/>
          <w:szCs w:val="24"/>
          <w:lang w:val="ka-GE"/>
        </w:rPr>
      </w:pPr>
    </w:p>
    <w:p w14:paraId="67931FE5" w14:textId="77777777" w:rsidR="00000521" w:rsidRPr="007971BD" w:rsidRDefault="00000521" w:rsidP="007847FD">
      <w:pPr>
        <w:pStyle w:val="ListParagraph"/>
        <w:ind w:left="630" w:firstLine="284"/>
        <w:jc w:val="both"/>
        <w:rPr>
          <w:rFonts w:ascii="Sylfaen" w:hAnsi="Sylfaen" w:cs="Sylfaen"/>
          <w:b/>
          <w:sz w:val="24"/>
          <w:szCs w:val="24"/>
          <w:lang w:val="ka-GE"/>
        </w:rPr>
      </w:pPr>
    </w:p>
    <w:p w14:paraId="123B8A82" w14:textId="77777777" w:rsidR="00000521" w:rsidRPr="007971BD" w:rsidRDefault="00000521" w:rsidP="007847FD">
      <w:pPr>
        <w:pStyle w:val="ListParagraph"/>
        <w:ind w:left="630" w:firstLine="284"/>
        <w:jc w:val="both"/>
        <w:rPr>
          <w:rFonts w:ascii="Sylfaen" w:hAnsi="Sylfaen" w:cs="Sylfaen"/>
          <w:b/>
          <w:sz w:val="24"/>
          <w:szCs w:val="24"/>
          <w:lang w:val="ka-GE"/>
        </w:rPr>
      </w:pPr>
    </w:p>
    <w:sectPr w:rsidR="00000521" w:rsidRPr="007971BD" w:rsidSect="007971BD">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E8B3B" w14:textId="77777777" w:rsidR="00AA5A30" w:rsidRDefault="00AA5A30" w:rsidP="005E23AF">
      <w:pPr>
        <w:spacing w:after="0" w:line="240" w:lineRule="auto"/>
      </w:pPr>
      <w:r>
        <w:separator/>
      </w:r>
    </w:p>
  </w:endnote>
  <w:endnote w:type="continuationSeparator" w:id="0">
    <w:p w14:paraId="5D4F41B0" w14:textId="77777777" w:rsidR="00AA5A30" w:rsidRDefault="00AA5A30" w:rsidP="005E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087009"/>
      <w:docPartObj>
        <w:docPartGallery w:val="Page Numbers (Bottom of Page)"/>
        <w:docPartUnique/>
      </w:docPartObj>
    </w:sdtPr>
    <w:sdtEndPr>
      <w:rPr>
        <w:noProof/>
      </w:rPr>
    </w:sdtEndPr>
    <w:sdtContent>
      <w:p w14:paraId="268012F9" w14:textId="50BFF310" w:rsidR="00C867AB" w:rsidRDefault="00C867AB">
        <w:pPr>
          <w:pStyle w:val="Footer"/>
          <w:jc w:val="right"/>
        </w:pPr>
        <w:r>
          <w:fldChar w:fldCharType="begin"/>
        </w:r>
        <w:r>
          <w:instrText xml:space="preserve"> PAGE   \* MERGEFORMAT </w:instrText>
        </w:r>
        <w:r>
          <w:fldChar w:fldCharType="separate"/>
        </w:r>
        <w:r w:rsidR="001B0E17">
          <w:rPr>
            <w:noProof/>
          </w:rPr>
          <w:t>1</w:t>
        </w:r>
        <w:r>
          <w:rPr>
            <w:noProof/>
          </w:rPr>
          <w:fldChar w:fldCharType="end"/>
        </w:r>
      </w:p>
    </w:sdtContent>
  </w:sdt>
  <w:p w14:paraId="5818F776" w14:textId="77777777" w:rsidR="00C867AB" w:rsidRDefault="00C867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AE0A" w14:textId="77777777" w:rsidR="00AA5A30" w:rsidRDefault="00AA5A30" w:rsidP="005E23AF">
      <w:pPr>
        <w:spacing w:after="0" w:line="240" w:lineRule="auto"/>
      </w:pPr>
      <w:r>
        <w:separator/>
      </w:r>
    </w:p>
  </w:footnote>
  <w:footnote w:type="continuationSeparator" w:id="0">
    <w:p w14:paraId="647F28E6" w14:textId="77777777" w:rsidR="00AA5A30" w:rsidRDefault="00AA5A30" w:rsidP="005E23AF">
      <w:pPr>
        <w:spacing w:after="0" w:line="240" w:lineRule="auto"/>
      </w:pPr>
      <w:r>
        <w:continuationSeparator/>
      </w:r>
    </w:p>
  </w:footnote>
  <w:footnote w:id="1">
    <w:p w14:paraId="07620286" w14:textId="1E595D92" w:rsidR="0071708F" w:rsidRPr="00126019" w:rsidRDefault="0071708F" w:rsidP="00126019">
      <w:pPr>
        <w:spacing w:after="0"/>
        <w:jc w:val="both"/>
        <w:rPr>
          <w:rFonts w:ascii="Sylfaen" w:hAnsi="Sylfaen"/>
          <w:sz w:val="20"/>
          <w:szCs w:val="20"/>
          <w:lang w:val="ka-GE"/>
        </w:rPr>
      </w:pPr>
      <w:r w:rsidRPr="00126019">
        <w:rPr>
          <w:rStyle w:val="FootnoteReference"/>
          <w:rFonts w:ascii="Sylfaen" w:hAnsi="Sylfaen"/>
          <w:sz w:val="20"/>
          <w:szCs w:val="20"/>
        </w:rPr>
        <w:footnoteRef/>
      </w:r>
      <w:r w:rsidRPr="00126019">
        <w:rPr>
          <w:rFonts w:ascii="Sylfaen" w:hAnsi="Sylfaen"/>
          <w:sz w:val="20"/>
          <w:szCs w:val="20"/>
        </w:rPr>
        <w:t xml:space="preserve"> </w:t>
      </w:r>
      <w:r w:rsidRPr="00126019">
        <w:rPr>
          <w:rFonts w:ascii="Sylfaen" w:eastAsia="Merriweather" w:hAnsi="Sylfaen" w:cs="Merriweather"/>
          <w:sz w:val="20"/>
          <w:szCs w:val="20"/>
          <w:lang w:val="ka-GE"/>
        </w:rPr>
        <w:t xml:space="preserve">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w:t>
      </w:r>
      <w:r w:rsidRPr="00126019">
        <w:rPr>
          <w:rFonts w:ascii="Times New Roman" w:eastAsia="Merriweather" w:hAnsi="Times New Roman" w:cs="Times New Roman"/>
          <w:sz w:val="20"/>
          <w:szCs w:val="20"/>
          <w:lang w:val="ka-GE"/>
        </w:rPr>
        <w:t>‒</w:t>
      </w:r>
      <w:r w:rsidRPr="00126019">
        <w:rPr>
          <w:rFonts w:ascii="Sylfaen" w:eastAsia="Merriweather" w:hAnsi="Sylfaen" w:cs="Merriweather"/>
          <w:sz w:val="20"/>
          <w:szCs w:val="20"/>
          <w:lang w:val="ka-GE"/>
        </w:rPr>
        <w:t xml:space="preserve"> გუჩა კვარაცხელია, გივი ცინცაძე, </w:t>
      </w:r>
      <w:r w:rsidR="009A0459" w:rsidRPr="00126019">
        <w:rPr>
          <w:rFonts w:ascii="Sylfaen" w:eastAsia="Merriweather" w:hAnsi="Sylfaen" w:cs="Merriweather"/>
          <w:sz w:val="20"/>
          <w:szCs w:val="20"/>
          <w:lang w:val="ka-GE"/>
        </w:rPr>
        <w:t xml:space="preserve">გიორგი </w:t>
      </w:r>
      <w:r w:rsidRPr="00126019">
        <w:rPr>
          <w:rFonts w:ascii="Sylfaen" w:eastAsia="Merriweather" w:hAnsi="Sylfaen" w:cs="Merriweather"/>
          <w:sz w:val="20"/>
          <w:szCs w:val="20"/>
          <w:lang w:val="ka-GE"/>
        </w:rPr>
        <w:t xml:space="preserve">თავაძე, ელიზბარ ჯაველიძე და სხვები (სულ 17 მოსარჩელე) საქართველოს პარლამენტის წინააღმდეგ“, II-24). </w:t>
      </w:r>
      <w:r w:rsidR="006F6395" w:rsidRPr="00126019">
        <w:rPr>
          <w:rFonts w:ascii="Sylfaen" w:hAnsi="Sylfaen"/>
          <w:sz w:val="20"/>
          <w:szCs w:val="20"/>
          <w:lang w:val="ka-GE"/>
        </w:rPr>
        <w:t xml:space="preserve"> </w:t>
      </w:r>
    </w:p>
  </w:footnote>
  <w:footnote w:id="2">
    <w:p w14:paraId="560777B4" w14:textId="7DEC51C7" w:rsidR="0071708F" w:rsidRPr="00AC2493" w:rsidRDefault="0071708F" w:rsidP="00126019">
      <w:pPr>
        <w:pStyle w:val="FootnoteText"/>
        <w:jc w:val="both"/>
        <w:rPr>
          <w:rFonts w:ascii="Sylfaen" w:hAnsi="Sylfaen"/>
          <w:lang w:val="ka-GE"/>
        </w:rPr>
      </w:pPr>
      <w:r w:rsidRPr="00126019">
        <w:rPr>
          <w:rStyle w:val="FootnoteReference"/>
          <w:rFonts w:ascii="Sylfaen" w:hAnsi="Sylfaen"/>
        </w:rPr>
        <w:footnoteRef/>
      </w:r>
      <w:r w:rsidR="00126019">
        <w:rPr>
          <w:rFonts w:ascii="Sylfaen" w:hAnsi="Sylfaen"/>
        </w:rPr>
        <w:t xml:space="preserve"> </w:t>
      </w:r>
      <w:r w:rsidRPr="00126019">
        <w:rPr>
          <w:rFonts w:ascii="Sylfaen" w:eastAsia="Merriweather" w:hAnsi="Sylfaen" w:cs="Merriweather"/>
          <w:lang w:val="ka-GE"/>
        </w:rPr>
        <w:t xml:space="preserve">საქართველოს საკონსტიტუციო სასამართლოს </w:t>
      </w:r>
      <w:r w:rsidR="00F6336D" w:rsidRPr="00126019">
        <w:rPr>
          <w:rFonts w:ascii="Sylfaen" w:eastAsia="Merriweather" w:hAnsi="Sylfaen" w:cs="Merriweather"/>
          <w:lang w:val="ka-GE"/>
        </w:rPr>
        <w:t xml:space="preserve">2018 წლის 22 თებერვლის ზემოაღნიშნული  </w:t>
      </w:r>
      <w:r w:rsidRPr="00126019">
        <w:rPr>
          <w:rFonts w:ascii="Sylfaen" w:eastAsia="Merriweather" w:hAnsi="Sylfaen" w:cs="Merriweather"/>
          <w:lang w:val="ka-GE"/>
        </w:rPr>
        <w:t>გადაწყვეტილება</w:t>
      </w:r>
      <w:r w:rsidR="00F6336D" w:rsidRPr="00126019">
        <w:rPr>
          <w:rFonts w:ascii="Sylfaen" w:eastAsia="Merriweather" w:hAnsi="Sylfaen" w:cs="Merriweather"/>
          <w:lang w:val="ka-GE"/>
        </w:rPr>
        <w:t xml:space="preserve">, </w:t>
      </w:r>
      <w:r w:rsidRPr="00126019">
        <w:rPr>
          <w:rFonts w:ascii="Sylfaen" w:eastAsia="Merriweather" w:hAnsi="Sylfaen" w:cs="Merriweather"/>
          <w:lang w:val="ka-GE"/>
        </w:rPr>
        <w:t xml:space="preserve"> II-23).</w:t>
      </w:r>
    </w:p>
  </w:footnote>
  <w:footnote w:id="3">
    <w:p w14:paraId="77880C3E" w14:textId="77777777" w:rsidR="006138AD" w:rsidRPr="00AC2493" w:rsidRDefault="006138AD" w:rsidP="00AC2493">
      <w:pPr>
        <w:pStyle w:val="FootnoteText"/>
        <w:jc w:val="both"/>
        <w:rPr>
          <w:rFonts w:ascii="Sylfaen" w:hAnsi="Sylfaen"/>
          <w:lang w:val="ka-GE"/>
        </w:rPr>
      </w:pPr>
      <w:r w:rsidRPr="00AC2493">
        <w:rPr>
          <w:rStyle w:val="FootnoteReference"/>
        </w:rPr>
        <w:footnoteRef/>
      </w:r>
      <w:r w:rsidRPr="00AC2493">
        <w:t xml:space="preserve"> </w:t>
      </w:r>
      <w:r w:rsidRPr="00AC2493">
        <w:rPr>
          <w:rFonts w:ascii="Sylfaen" w:hAnsi="Sylfaen"/>
          <w:lang w:val="ka-GE"/>
        </w:rPr>
        <w:t xml:space="preserve">იგულისხმება </w:t>
      </w:r>
      <w:r w:rsidRPr="00AC2493">
        <w:rPr>
          <w:rFonts w:ascii="Sylfaen" w:eastAsia="Merriweather" w:hAnsi="Sylfaen" w:cs="Merriweather"/>
          <w:lang w:val="ka-GE"/>
        </w:rPr>
        <w:t>თბილისის სახელმწიფო სამედიცინო უნივერსიტეტის გერიატრიის დეპარტამენტის ასოცირებული პროფესორი, ირინე ანდრონიკაშვილი,</w:t>
      </w:r>
    </w:p>
  </w:footnote>
  <w:footnote w:id="4">
    <w:p w14:paraId="394A9292" w14:textId="0608331C" w:rsidR="00EC383E" w:rsidRPr="00A24AC1" w:rsidRDefault="00EC383E" w:rsidP="00A24AC1">
      <w:pPr>
        <w:ind w:firstLine="284"/>
        <w:jc w:val="both"/>
        <w:rPr>
          <w:rFonts w:ascii="Sylfaen" w:hAnsi="Sylfaen"/>
          <w:b/>
          <w:sz w:val="20"/>
          <w:szCs w:val="20"/>
          <w:lang w:val="ka-GE"/>
        </w:rPr>
      </w:pPr>
      <w:r w:rsidRPr="00A24AC1">
        <w:rPr>
          <w:rStyle w:val="FootnoteReference"/>
          <w:rFonts w:ascii="Sylfaen" w:hAnsi="Sylfaen"/>
          <w:sz w:val="20"/>
          <w:szCs w:val="20"/>
        </w:rPr>
        <w:footnoteRef/>
      </w:r>
      <w:r w:rsidRPr="00A24AC1">
        <w:rPr>
          <w:rFonts w:ascii="Sylfaen" w:hAnsi="Sylfaen"/>
          <w:sz w:val="20"/>
          <w:szCs w:val="20"/>
        </w:rPr>
        <w:t xml:space="preserve"> </w:t>
      </w:r>
      <w:r w:rsidR="00847C5B" w:rsidRPr="00A24AC1">
        <w:rPr>
          <w:rFonts w:ascii="Sylfaen" w:hAnsi="Sylfaen"/>
          <w:sz w:val="20"/>
          <w:szCs w:val="20"/>
          <w:lang w:val="ka-GE"/>
        </w:rPr>
        <w:t>ვგულისხმობ 2015 წლის 27 ოქტომბერს საქართველოს პარლამენტის მიერ მიღებულ კანონს   „საჯარო სამსახურის შესახებ“</w:t>
      </w:r>
      <w:r w:rsidR="00A24AC1">
        <w:rPr>
          <w:rFonts w:ascii="Sylfaen" w:hAnsi="Sylfaen"/>
          <w:sz w:val="20"/>
          <w:szCs w:val="20"/>
          <w:lang w:val="ka-GE"/>
        </w:rPr>
        <w:t>, რომლითაც</w:t>
      </w:r>
      <w:r w:rsidR="00847C5B" w:rsidRPr="00A24AC1">
        <w:rPr>
          <w:rFonts w:ascii="Sylfaen" w:hAnsi="Sylfaen"/>
          <w:sz w:val="20"/>
          <w:szCs w:val="20"/>
          <w:lang w:val="ka-GE"/>
        </w:rPr>
        <w:t xml:space="preserve"> საჯარო სამსახურის ახალი მოდელი</w:t>
      </w:r>
      <w:r w:rsidR="00A24AC1">
        <w:rPr>
          <w:rFonts w:ascii="Sylfaen" w:hAnsi="Sylfaen"/>
          <w:sz w:val="20"/>
          <w:szCs w:val="20"/>
          <w:lang w:val="ka-GE"/>
        </w:rPr>
        <w:t xml:space="preserve"> ჩამოყალიბდა</w:t>
      </w:r>
      <w:r w:rsidR="00847C5B" w:rsidRPr="00A24AC1">
        <w:rPr>
          <w:rFonts w:ascii="Sylfaen" w:hAnsi="Sylfaen"/>
          <w:sz w:val="20"/>
          <w:szCs w:val="20"/>
          <w:lang w:val="ka-GE"/>
        </w:rPr>
        <w:t>.</w:t>
      </w:r>
    </w:p>
  </w:footnote>
  <w:footnote w:id="5">
    <w:p w14:paraId="7CE5C22D" w14:textId="518C4032" w:rsidR="00405D8E" w:rsidRPr="00471AAB" w:rsidRDefault="000140E6" w:rsidP="00405D8E">
      <w:pPr>
        <w:jc w:val="both"/>
        <w:rPr>
          <w:rFonts w:ascii="Sylfaen" w:hAnsi="Sylfaen"/>
          <w:sz w:val="20"/>
          <w:szCs w:val="20"/>
          <w:lang w:val="ka-GE"/>
        </w:rPr>
      </w:pPr>
      <w:r w:rsidRPr="00471AAB">
        <w:rPr>
          <w:rStyle w:val="FootnoteReference"/>
          <w:rFonts w:ascii="Sylfaen" w:hAnsi="Sylfaen"/>
          <w:sz w:val="20"/>
          <w:szCs w:val="20"/>
        </w:rPr>
        <w:footnoteRef/>
      </w:r>
      <w:r w:rsidRPr="00471AAB">
        <w:rPr>
          <w:rFonts w:ascii="Sylfaen" w:hAnsi="Sylfaen"/>
          <w:sz w:val="20"/>
          <w:szCs w:val="20"/>
        </w:rPr>
        <w:t xml:space="preserve"> </w:t>
      </w:r>
      <w:r w:rsidRPr="00471AAB">
        <w:rPr>
          <w:rFonts w:ascii="Sylfaen" w:hAnsi="Sylfaen"/>
          <w:sz w:val="20"/>
          <w:szCs w:val="20"/>
          <w:lang w:val="ka-GE"/>
        </w:rPr>
        <w:t>იხ. ევა გოცირიძის განს</w:t>
      </w:r>
      <w:r w:rsidR="00D609FB" w:rsidRPr="00471AAB">
        <w:rPr>
          <w:rFonts w:ascii="Sylfaen" w:hAnsi="Sylfaen"/>
          <w:sz w:val="20"/>
          <w:szCs w:val="20"/>
          <w:lang w:val="ka-GE"/>
        </w:rPr>
        <w:t>ხ</w:t>
      </w:r>
      <w:r w:rsidRPr="00471AAB">
        <w:rPr>
          <w:rFonts w:ascii="Sylfaen" w:hAnsi="Sylfaen"/>
          <w:sz w:val="20"/>
          <w:szCs w:val="20"/>
          <w:lang w:val="ka-GE"/>
        </w:rPr>
        <w:t>ავავებული აზრი</w:t>
      </w:r>
      <w:r w:rsidR="00405D8E" w:rsidRPr="00471AAB">
        <w:rPr>
          <w:rFonts w:ascii="Sylfaen" w:hAnsi="Sylfaen"/>
          <w:sz w:val="20"/>
          <w:szCs w:val="20"/>
          <w:lang w:val="ka-GE"/>
        </w:rPr>
        <w:t xml:space="preserve">  </w:t>
      </w:r>
      <w:r w:rsidR="00405D8E" w:rsidRPr="00471AAB">
        <w:rPr>
          <w:rFonts w:ascii="Sylfaen" w:eastAsia="Sylfaen" w:hAnsi="Sylfaen" w:cs="Sylfaen"/>
          <w:sz w:val="20"/>
          <w:szCs w:val="20"/>
          <w:lang w:val="ka-GE"/>
        </w:rPr>
        <w:t>№</w:t>
      </w:r>
      <w:r w:rsidR="00405D8E" w:rsidRPr="00471AAB">
        <w:rPr>
          <w:rFonts w:ascii="Sylfaen" w:eastAsia="Calibri" w:hAnsi="Sylfaen" w:cs="Sylfaen"/>
          <w:sz w:val="20"/>
          <w:szCs w:val="20"/>
          <w:lang w:val="ka-GE"/>
        </w:rPr>
        <w:t>811 კონსტიტუციურ სარჩელზე მიღებულ გადაწყვეტილებასთან დაკავშირებით</w:t>
      </w:r>
      <w:r w:rsidR="00471AAB" w:rsidRPr="00471AAB">
        <w:rPr>
          <w:rFonts w:ascii="Sylfaen" w:eastAsia="Calibri" w:hAnsi="Sylfaen" w:cs="Sylfaen"/>
          <w:sz w:val="20"/>
          <w:szCs w:val="20"/>
          <w:lang w:val="ka-GE"/>
        </w:rPr>
        <w:t>.</w:t>
      </w:r>
    </w:p>
    <w:p w14:paraId="15574212" w14:textId="77777777" w:rsidR="00405D8E" w:rsidRPr="00A332F9" w:rsidRDefault="00405D8E" w:rsidP="00405D8E">
      <w:pPr>
        <w:tabs>
          <w:tab w:val="left" w:pos="851"/>
          <w:tab w:val="left" w:pos="900"/>
        </w:tabs>
        <w:suppressAutoHyphens/>
        <w:spacing w:after="0" w:line="276" w:lineRule="auto"/>
        <w:jc w:val="both"/>
        <w:rPr>
          <w:rFonts w:ascii="Sylfaen" w:hAnsi="Sylfaen"/>
          <w:sz w:val="24"/>
          <w:szCs w:val="24"/>
          <w:lang w:val="ka-GE"/>
        </w:rPr>
      </w:pPr>
    </w:p>
    <w:p w14:paraId="4F8E5A9F" w14:textId="77777777" w:rsidR="000140E6" w:rsidRPr="000140E6" w:rsidRDefault="000140E6">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923"/>
    <w:multiLevelType w:val="hybridMultilevel"/>
    <w:tmpl w:val="BAC6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542E9"/>
    <w:multiLevelType w:val="multilevel"/>
    <w:tmpl w:val="FAE4887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A6D5D"/>
    <w:multiLevelType w:val="hybridMultilevel"/>
    <w:tmpl w:val="F0E88D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B1C347B"/>
    <w:multiLevelType w:val="hybridMultilevel"/>
    <w:tmpl w:val="82567FE2"/>
    <w:lvl w:ilvl="0" w:tplc="0EF2B46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00E7012"/>
    <w:multiLevelType w:val="hybridMultilevel"/>
    <w:tmpl w:val="8B1C4F7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2A97074"/>
    <w:multiLevelType w:val="hybridMultilevel"/>
    <w:tmpl w:val="4CD26BAA"/>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 w15:restartNumberingAfterBreak="0">
    <w:nsid w:val="39D449BF"/>
    <w:multiLevelType w:val="hybridMultilevel"/>
    <w:tmpl w:val="4CD26BA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7"/>
    <w:rsid w:val="00000521"/>
    <w:rsid w:val="000140E6"/>
    <w:rsid w:val="000468BD"/>
    <w:rsid w:val="00065879"/>
    <w:rsid w:val="00077871"/>
    <w:rsid w:val="000A4E6F"/>
    <w:rsid w:val="000A6A3D"/>
    <w:rsid w:val="000B15A1"/>
    <w:rsid w:val="000B2B47"/>
    <w:rsid w:val="00104763"/>
    <w:rsid w:val="00107DE0"/>
    <w:rsid w:val="00126019"/>
    <w:rsid w:val="0012789C"/>
    <w:rsid w:val="00140FFD"/>
    <w:rsid w:val="00142C86"/>
    <w:rsid w:val="0017460E"/>
    <w:rsid w:val="001B0E17"/>
    <w:rsid w:val="001C00D5"/>
    <w:rsid w:val="001C0A3C"/>
    <w:rsid w:val="001C65F9"/>
    <w:rsid w:val="001D41CA"/>
    <w:rsid w:val="001F02C9"/>
    <w:rsid w:val="002033C7"/>
    <w:rsid w:val="0020510A"/>
    <w:rsid w:val="00236952"/>
    <w:rsid w:val="0024640D"/>
    <w:rsid w:val="00273516"/>
    <w:rsid w:val="002776B8"/>
    <w:rsid w:val="002906BE"/>
    <w:rsid w:val="002A445F"/>
    <w:rsid w:val="002A7236"/>
    <w:rsid w:val="002B0659"/>
    <w:rsid w:val="002D5AF6"/>
    <w:rsid w:val="00300417"/>
    <w:rsid w:val="00313CD3"/>
    <w:rsid w:val="00322D80"/>
    <w:rsid w:val="003251F5"/>
    <w:rsid w:val="00331E7C"/>
    <w:rsid w:val="00336928"/>
    <w:rsid w:val="0034676C"/>
    <w:rsid w:val="00346E0C"/>
    <w:rsid w:val="00357F4D"/>
    <w:rsid w:val="00363D53"/>
    <w:rsid w:val="00380C77"/>
    <w:rsid w:val="003A7925"/>
    <w:rsid w:val="003B7E55"/>
    <w:rsid w:val="003D4FED"/>
    <w:rsid w:val="003E2BAC"/>
    <w:rsid w:val="003E4501"/>
    <w:rsid w:val="003E531A"/>
    <w:rsid w:val="00405D8E"/>
    <w:rsid w:val="004473B9"/>
    <w:rsid w:val="004509D1"/>
    <w:rsid w:val="00450B39"/>
    <w:rsid w:val="00454677"/>
    <w:rsid w:val="00456B27"/>
    <w:rsid w:val="00457061"/>
    <w:rsid w:val="0046435C"/>
    <w:rsid w:val="00471AAB"/>
    <w:rsid w:val="00483423"/>
    <w:rsid w:val="004B0CF9"/>
    <w:rsid w:val="004C4CB3"/>
    <w:rsid w:val="004D7947"/>
    <w:rsid w:val="004F4500"/>
    <w:rsid w:val="00532196"/>
    <w:rsid w:val="0055298C"/>
    <w:rsid w:val="0056546E"/>
    <w:rsid w:val="00575446"/>
    <w:rsid w:val="00577405"/>
    <w:rsid w:val="005840D8"/>
    <w:rsid w:val="005879FE"/>
    <w:rsid w:val="005A2A1F"/>
    <w:rsid w:val="005B3319"/>
    <w:rsid w:val="005B752F"/>
    <w:rsid w:val="005E23AF"/>
    <w:rsid w:val="005E4467"/>
    <w:rsid w:val="0060320C"/>
    <w:rsid w:val="006138AD"/>
    <w:rsid w:val="00623974"/>
    <w:rsid w:val="00647035"/>
    <w:rsid w:val="0065534F"/>
    <w:rsid w:val="00661ED0"/>
    <w:rsid w:val="006759F5"/>
    <w:rsid w:val="00675BA5"/>
    <w:rsid w:val="006A3A18"/>
    <w:rsid w:val="006A6183"/>
    <w:rsid w:val="006B2127"/>
    <w:rsid w:val="006C2DD1"/>
    <w:rsid w:val="006C368C"/>
    <w:rsid w:val="006E5419"/>
    <w:rsid w:val="006F6395"/>
    <w:rsid w:val="006F66EA"/>
    <w:rsid w:val="006F74E7"/>
    <w:rsid w:val="007025B6"/>
    <w:rsid w:val="007052E9"/>
    <w:rsid w:val="00705EEA"/>
    <w:rsid w:val="0071708F"/>
    <w:rsid w:val="00725FDD"/>
    <w:rsid w:val="007343A5"/>
    <w:rsid w:val="00735025"/>
    <w:rsid w:val="0074175D"/>
    <w:rsid w:val="00752843"/>
    <w:rsid w:val="007731C5"/>
    <w:rsid w:val="0077345C"/>
    <w:rsid w:val="007847FD"/>
    <w:rsid w:val="007971BD"/>
    <w:rsid w:val="007D48DD"/>
    <w:rsid w:val="007D5D60"/>
    <w:rsid w:val="007F1072"/>
    <w:rsid w:val="007F5ED3"/>
    <w:rsid w:val="00805882"/>
    <w:rsid w:val="008074F3"/>
    <w:rsid w:val="00811BA4"/>
    <w:rsid w:val="00812A3C"/>
    <w:rsid w:val="008139AE"/>
    <w:rsid w:val="00815121"/>
    <w:rsid w:val="00825E9F"/>
    <w:rsid w:val="00847517"/>
    <w:rsid w:val="00847C5B"/>
    <w:rsid w:val="00853B5C"/>
    <w:rsid w:val="00857976"/>
    <w:rsid w:val="0085799F"/>
    <w:rsid w:val="00861711"/>
    <w:rsid w:val="008A5539"/>
    <w:rsid w:val="008D0472"/>
    <w:rsid w:val="00934743"/>
    <w:rsid w:val="00934F85"/>
    <w:rsid w:val="00940D1C"/>
    <w:rsid w:val="009444A8"/>
    <w:rsid w:val="009564CB"/>
    <w:rsid w:val="009630DF"/>
    <w:rsid w:val="009863BF"/>
    <w:rsid w:val="009A0459"/>
    <w:rsid w:val="009C43D7"/>
    <w:rsid w:val="009D1B21"/>
    <w:rsid w:val="009E4981"/>
    <w:rsid w:val="00A0477E"/>
    <w:rsid w:val="00A0635D"/>
    <w:rsid w:val="00A214A4"/>
    <w:rsid w:val="00A24AC1"/>
    <w:rsid w:val="00A36B27"/>
    <w:rsid w:val="00A832BC"/>
    <w:rsid w:val="00A86A95"/>
    <w:rsid w:val="00A97DF9"/>
    <w:rsid w:val="00AA5A30"/>
    <w:rsid w:val="00AC2493"/>
    <w:rsid w:val="00B04B5D"/>
    <w:rsid w:val="00B163BE"/>
    <w:rsid w:val="00B17379"/>
    <w:rsid w:val="00B178B1"/>
    <w:rsid w:val="00B50C4E"/>
    <w:rsid w:val="00B66877"/>
    <w:rsid w:val="00B72468"/>
    <w:rsid w:val="00B74E0A"/>
    <w:rsid w:val="00B875BD"/>
    <w:rsid w:val="00B93958"/>
    <w:rsid w:val="00BA527A"/>
    <w:rsid w:val="00BC1761"/>
    <w:rsid w:val="00BC41FE"/>
    <w:rsid w:val="00BD4AAD"/>
    <w:rsid w:val="00BF1F8E"/>
    <w:rsid w:val="00BF799D"/>
    <w:rsid w:val="00C14A22"/>
    <w:rsid w:val="00C1771C"/>
    <w:rsid w:val="00C20785"/>
    <w:rsid w:val="00C2094C"/>
    <w:rsid w:val="00C34767"/>
    <w:rsid w:val="00C3488F"/>
    <w:rsid w:val="00C5210C"/>
    <w:rsid w:val="00C65849"/>
    <w:rsid w:val="00C80920"/>
    <w:rsid w:val="00C82987"/>
    <w:rsid w:val="00C85103"/>
    <w:rsid w:val="00C867AB"/>
    <w:rsid w:val="00C87CB8"/>
    <w:rsid w:val="00CA4E9B"/>
    <w:rsid w:val="00CA58D2"/>
    <w:rsid w:val="00CA7226"/>
    <w:rsid w:val="00CB41CB"/>
    <w:rsid w:val="00D2436B"/>
    <w:rsid w:val="00D254AC"/>
    <w:rsid w:val="00D3692D"/>
    <w:rsid w:val="00D609FB"/>
    <w:rsid w:val="00D62F8D"/>
    <w:rsid w:val="00D74063"/>
    <w:rsid w:val="00DB47AB"/>
    <w:rsid w:val="00DC5902"/>
    <w:rsid w:val="00DC6EAA"/>
    <w:rsid w:val="00DE0F55"/>
    <w:rsid w:val="00DE6A62"/>
    <w:rsid w:val="00DF5FDF"/>
    <w:rsid w:val="00E07BB0"/>
    <w:rsid w:val="00E1216E"/>
    <w:rsid w:val="00E14AD2"/>
    <w:rsid w:val="00E27754"/>
    <w:rsid w:val="00E33201"/>
    <w:rsid w:val="00E338EE"/>
    <w:rsid w:val="00E360D8"/>
    <w:rsid w:val="00E46729"/>
    <w:rsid w:val="00E54914"/>
    <w:rsid w:val="00E85EE1"/>
    <w:rsid w:val="00E975B8"/>
    <w:rsid w:val="00EA03F6"/>
    <w:rsid w:val="00EC383E"/>
    <w:rsid w:val="00F2466F"/>
    <w:rsid w:val="00F3035A"/>
    <w:rsid w:val="00F44423"/>
    <w:rsid w:val="00F60661"/>
    <w:rsid w:val="00F6336D"/>
    <w:rsid w:val="00FA0B2D"/>
    <w:rsid w:val="00FC064F"/>
    <w:rsid w:val="00FD6087"/>
    <w:rsid w:val="00FE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F771"/>
  <w15:chartTrackingRefBased/>
  <w15:docId w15:val="{D41D7E90-1E9B-4E30-91DB-11BE4986F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48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48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25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A22"/>
    <w:pPr>
      <w:ind w:left="720"/>
      <w:contextualSpacing/>
    </w:pPr>
  </w:style>
  <w:style w:type="paragraph" w:styleId="FootnoteText">
    <w:name w:val="footnote text"/>
    <w:basedOn w:val="Normal"/>
    <w:link w:val="FootnoteTextChar"/>
    <w:uiPriority w:val="99"/>
    <w:semiHidden/>
    <w:unhideWhenUsed/>
    <w:rsid w:val="005E2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3AF"/>
    <w:rPr>
      <w:sz w:val="20"/>
      <w:szCs w:val="20"/>
    </w:rPr>
  </w:style>
  <w:style w:type="character" w:styleId="FootnoteReference">
    <w:name w:val="footnote reference"/>
    <w:basedOn w:val="DefaultParagraphFont"/>
    <w:uiPriority w:val="99"/>
    <w:semiHidden/>
    <w:unhideWhenUsed/>
    <w:rsid w:val="005E23AF"/>
    <w:rPr>
      <w:vertAlign w:val="superscript"/>
    </w:rPr>
  </w:style>
  <w:style w:type="character" w:styleId="CommentReference">
    <w:name w:val="annotation reference"/>
    <w:basedOn w:val="DefaultParagraphFont"/>
    <w:uiPriority w:val="99"/>
    <w:semiHidden/>
    <w:unhideWhenUsed/>
    <w:rsid w:val="009E4981"/>
    <w:rPr>
      <w:sz w:val="16"/>
      <w:szCs w:val="16"/>
    </w:rPr>
  </w:style>
  <w:style w:type="paragraph" w:styleId="CommentText">
    <w:name w:val="annotation text"/>
    <w:basedOn w:val="Normal"/>
    <w:link w:val="CommentTextChar"/>
    <w:uiPriority w:val="99"/>
    <w:semiHidden/>
    <w:unhideWhenUsed/>
    <w:rsid w:val="009E4981"/>
    <w:pPr>
      <w:spacing w:line="240" w:lineRule="auto"/>
    </w:pPr>
    <w:rPr>
      <w:sz w:val="20"/>
      <w:szCs w:val="20"/>
    </w:rPr>
  </w:style>
  <w:style w:type="character" w:customStyle="1" w:styleId="CommentTextChar">
    <w:name w:val="Comment Text Char"/>
    <w:basedOn w:val="DefaultParagraphFont"/>
    <w:link w:val="CommentText"/>
    <w:uiPriority w:val="99"/>
    <w:semiHidden/>
    <w:rsid w:val="009E4981"/>
    <w:rPr>
      <w:sz w:val="20"/>
      <w:szCs w:val="20"/>
    </w:rPr>
  </w:style>
  <w:style w:type="paragraph" w:styleId="CommentSubject">
    <w:name w:val="annotation subject"/>
    <w:basedOn w:val="CommentText"/>
    <w:next w:val="CommentText"/>
    <w:link w:val="CommentSubjectChar"/>
    <w:uiPriority w:val="99"/>
    <w:semiHidden/>
    <w:unhideWhenUsed/>
    <w:rsid w:val="009E4981"/>
    <w:rPr>
      <w:b/>
      <w:bCs/>
    </w:rPr>
  </w:style>
  <w:style w:type="character" w:customStyle="1" w:styleId="CommentSubjectChar">
    <w:name w:val="Comment Subject Char"/>
    <w:basedOn w:val="CommentTextChar"/>
    <w:link w:val="CommentSubject"/>
    <w:uiPriority w:val="99"/>
    <w:semiHidden/>
    <w:rsid w:val="009E4981"/>
    <w:rPr>
      <w:b/>
      <w:bCs/>
      <w:sz w:val="20"/>
      <w:szCs w:val="20"/>
    </w:rPr>
  </w:style>
  <w:style w:type="paragraph" w:styleId="BalloonText">
    <w:name w:val="Balloon Text"/>
    <w:basedOn w:val="Normal"/>
    <w:link w:val="BalloonTextChar"/>
    <w:uiPriority w:val="99"/>
    <w:semiHidden/>
    <w:unhideWhenUsed/>
    <w:rsid w:val="009E4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981"/>
    <w:rPr>
      <w:rFonts w:ascii="Segoe UI" w:hAnsi="Segoe UI" w:cs="Segoe UI"/>
      <w:sz w:val="18"/>
      <w:szCs w:val="18"/>
    </w:rPr>
  </w:style>
  <w:style w:type="paragraph" w:styleId="Header">
    <w:name w:val="header"/>
    <w:basedOn w:val="Normal"/>
    <w:link w:val="HeaderChar"/>
    <w:uiPriority w:val="99"/>
    <w:unhideWhenUsed/>
    <w:rsid w:val="00C8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7AB"/>
  </w:style>
  <w:style w:type="paragraph" w:styleId="Footer">
    <w:name w:val="footer"/>
    <w:basedOn w:val="Normal"/>
    <w:link w:val="FooterChar"/>
    <w:uiPriority w:val="99"/>
    <w:unhideWhenUsed/>
    <w:rsid w:val="00C86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7AB"/>
  </w:style>
  <w:style w:type="character" w:customStyle="1" w:styleId="Heading1Char">
    <w:name w:val="Heading 1 Char"/>
    <w:basedOn w:val="DefaultParagraphFont"/>
    <w:link w:val="Heading1"/>
    <w:uiPriority w:val="9"/>
    <w:rsid w:val="007D48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48D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25B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3F63-1CA6-47CB-8F77-033CECA7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TotalTime>
  <Pages>1</Pages>
  <Words>4783</Words>
  <Characters>27267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giorgi khajalia</cp:lastModifiedBy>
  <cp:revision>42</cp:revision>
  <dcterms:created xsi:type="dcterms:W3CDTF">2025-03-27T15:42:00Z</dcterms:created>
  <dcterms:modified xsi:type="dcterms:W3CDTF">2025-04-07T08:56:00Z</dcterms:modified>
</cp:coreProperties>
</file>